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2462" w14:textId="77777777" w:rsidR="00FA0B20" w:rsidRDefault="00FA0B20" w:rsidP="00F9318A">
      <w:pPr>
        <w:rPr>
          <w:b/>
          <w:sz w:val="40"/>
          <w:szCs w:val="40"/>
        </w:rPr>
      </w:pPr>
    </w:p>
    <w:p w14:paraId="463D4000" w14:textId="18235D33" w:rsidR="00FA0B20" w:rsidRDefault="00FA0B20" w:rsidP="00FA0B20">
      <w:pPr>
        <w:rPr>
          <w:b/>
          <w:sz w:val="40"/>
          <w:szCs w:val="40"/>
        </w:rPr>
      </w:pPr>
    </w:p>
    <w:p w14:paraId="57628204" w14:textId="4AA54AF7" w:rsidR="00297872" w:rsidRPr="00A23CC8" w:rsidRDefault="00A23CC8" w:rsidP="00A23CC8">
      <w:pPr>
        <w:jc w:val="center"/>
        <w:rPr>
          <w:b/>
          <w:sz w:val="32"/>
          <w:szCs w:val="32"/>
          <w:lang w:val="en-US"/>
        </w:rPr>
      </w:pPr>
      <w:r w:rsidRPr="00A23CC8">
        <w:rPr>
          <w:b/>
          <w:sz w:val="32"/>
          <w:szCs w:val="32"/>
          <w:lang w:val="en-US"/>
        </w:rPr>
        <w:t xml:space="preserve">AGREEMENT BETWEEN DATA </w:t>
      </w:r>
      <w:r w:rsidR="00484E2C">
        <w:rPr>
          <w:b/>
          <w:sz w:val="32"/>
          <w:szCs w:val="32"/>
          <w:lang w:val="en-US"/>
        </w:rPr>
        <w:t>PROCESSOR AND</w:t>
      </w:r>
      <w:r w:rsidR="00493FCE">
        <w:rPr>
          <w:b/>
          <w:sz w:val="32"/>
          <w:szCs w:val="32"/>
          <w:lang w:val="en-US"/>
        </w:rPr>
        <w:t xml:space="preserve"> SUB-</w:t>
      </w:r>
      <w:r w:rsidRPr="00A23CC8">
        <w:rPr>
          <w:b/>
          <w:sz w:val="32"/>
          <w:szCs w:val="32"/>
          <w:lang w:val="en-US"/>
        </w:rPr>
        <w:t>PROCE</w:t>
      </w:r>
      <w:r>
        <w:rPr>
          <w:b/>
          <w:sz w:val="32"/>
          <w:szCs w:val="32"/>
          <w:lang w:val="en-US"/>
        </w:rPr>
        <w:t xml:space="preserve">SSOR ON </w:t>
      </w:r>
      <w:r w:rsidR="00FB374C">
        <w:rPr>
          <w:b/>
          <w:sz w:val="32"/>
          <w:szCs w:val="32"/>
          <w:lang w:val="en-US"/>
        </w:rPr>
        <w:t xml:space="preserve">THE </w:t>
      </w:r>
      <w:r>
        <w:rPr>
          <w:b/>
          <w:sz w:val="32"/>
          <w:szCs w:val="32"/>
          <w:lang w:val="en-US"/>
        </w:rPr>
        <w:t>PROCESSING PERSONAL DATA</w:t>
      </w:r>
    </w:p>
    <w:p w14:paraId="78049EEA" w14:textId="77777777" w:rsidR="00297872" w:rsidRPr="00A23CC8" w:rsidRDefault="00297872" w:rsidP="00297872">
      <w:pPr>
        <w:jc w:val="center"/>
        <w:rPr>
          <w:b/>
          <w:sz w:val="32"/>
          <w:szCs w:val="32"/>
          <w:lang w:val="en-US"/>
        </w:rPr>
      </w:pPr>
    </w:p>
    <w:p w14:paraId="21C4E20F" w14:textId="2EC4B79A" w:rsidR="00297872" w:rsidRPr="00A23CC8" w:rsidRDefault="00297872" w:rsidP="00FA0B20">
      <w:pPr>
        <w:jc w:val="center"/>
        <w:rPr>
          <w:b/>
          <w:sz w:val="32"/>
          <w:szCs w:val="32"/>
          <w:lang w:val="en-US"/>
        </w:rPr>
      </w:pPr>
      <w:r w:rsidRPr="00A23CC8">
        <w:rPr>
          <w:b/>
          <w:sz w:val="32"/>
          <w:szCs w:val="32"/>
          <w:lang w:val="en-US"/>
        </w:rPr>
        <w:t>(</w:t>
      </w:r>
      <w:r w:rsidR="00493FCE">
        <w:rPr>
          <w:b/>
          <w:sz w:val="32"/>
          <w:szCs w:val="32"/>
          <w:lang w:val="en-US"/>
        </w:rPr>
        <w:t>SUB-</w:t>
      </w:r>
      <w:r w:rsidR="00A23CC8" w:rsidRPr="00A23CC8">
        <w:rPr>
          <w:b/>
          <w:sz w:val="32"/>
          <w:szCs w:val="32"/>
          <w:lang w:val="en-US"/>
        </w:rPr>
        <w:t>PROCESSOR AGREEMENT</w:t>
      </w:r>
      <w:r w:rsidRPr="00A23CC8">
        <w:rPr>
          <w:b/>
          <w:sz w:val="32"/>
          <w:szCs w:val="32"/>
          <w:lang w:val="en-US"/>
        </w:rPr>
        <w:t>)</w:t>
      </w:r>
    </w:p>
    <w:p w14:paraId="2CC60180" w14:textId="2BA0742F" w:rsidR="00297872" w:rsidRPr="006E2DE9" w:rsidRDefault="00F2552D" w:rsidP="00297872">
      <w:pPr>
        <w:jc w:val="center"/>
        <w:rPr>
          <w:b/>
          <w:color w:val="4F81BD"/>
          <w:sz w:val="40"/>
          <w:szCs w:val="40"/>
        </w:rPr>
      </w:pPr>
      <w:r>
        <w:rPr>
          <w:b/>
          <w:color w:val="1F497D"/>
          <w:sz w:val="40"/>
          <w:szCs w:val="40"/>
        </w:rPr>
        <w:pict w14:anchorId="07DC62C6">
          <v:rect id="_x0000_i1025" style="width:477.1pt;height:.05pt" o:hrpct="990" o:hralign="center" o:hrstd="t" o:hr="t" fillcolor="#a0a0a0" stroked="f"/>
        </w:pict>
      </w:r>
    </w:p>
    <w:p w14:paraId="2747A7BD" w14:textId="77777777" w:rsidR="00260A23" w:rsidRDefault="00260A23" w:rsidP="00260A23">
      <w:pPr>
        <w:rPr>
          <w:rFonts w:cs="Arial"/>
          <w:sz w:val="20"/>
          <w:szCs w:val="20"/>
        </w:rPr>
      </w:pPr>
    </w:p>
    <w:p w14:paraId="02FAB9E8" w14:textId="53536C97" w:rsidR="00260A23" w:rsidRPr="00B74524" w:rsidRDefault="00260A23" w:rsidP="00260A23">
      <w:pPr>
        <w:ind w:left="720" w:right="852"/>
        <w:jc w:val="both"/>
        <w:rPr>
          <w:rFonts w:cs="Arial"/>
          <w:i/>
        </w:rPr>
      </w:pPr>
      <w:r w:rsidRPr="00B74524">
        <w:rPr>
          <w:rFonts w:cs="Arial"/>
          <w:i/>
        </w:rPr>
        <w:t>BETWEEN Malta Information Technology Agency</w:t>
      </w:r>
      <w:r w:rsidRPr="00B74524">
        <w:rPr>
          <w:rFonts w:cs="Arial"/>
          <w:bCs/>
          <w:i/>
        </w:rPr>
        <w:t xml:space="preserve"> </w:t>
      </w:r>
      <w:r w:rsidRPr="00B74524">
        <w:rPr>
          <w:rFonts w:cs="Arial"/>
          <w:i/>
        </w:rPr>
        <w:t>and whose registered address is at Gattard House, National Road, Blatal-Bajda HMR 9010 (hereinafter referred to as the “Data Processor”);</w:t>
      </w:r>
    </w:p>
    <w:p w14:paraId="55FD52D2" w14:textId="77777777" w:rsidR="00260A23" w:rsidRPr="00B74524" w:rsidRDefault="00260A23" w:rsidP="00260A23">
      <w:pPr>
        <w:ind w:left="720" w:right="852"/>
        <w:jc w:val="both"/>
        <w:rPr>
          <w:rFonts w:cs="Arial"/>
          <w:i/>
        </w:rPr>
      </w:pPr>
    </w:p>
    <w:p w14:paraId="67BAAE41" w14:textId="4239C989" w:rsidR="00260A23" w:rsidRPr="00B74524" w:rsidRDefault="00260A23" w:rsidP="00260A23">
      <w:pPr>
        <w:ind w:left="720" w:right="852"/>
        <w:jc w:val="both"/>
        <w:rPr>
          <w:rFonts w:cs="Arial"/>
          <w:i/>
        </w:rPr>
      </w:pPr>
      <w:r w:rsidRPr="00B74524">
        <w:rPr>
          <w:rFonts w:cs="Arial"/>
          <w:i/>
        </w:rPr>
        <w:t>AND</w:t>
      </w:r>
      <w:r w:rsidR="00FB374C">
        <w:rPr>
          <w:rFonts w:cs="Arial"/>
          <w:i/>
        </w:rPr>
        <w:t xml:space="preserve"> </w:t>
      </w:r>
      <w:r w:rsidRPr="00B74524">
        <w:rPr>
          <w:rFonts w:cs="Arial"/>
          <w:i/>
        </w:rPr>
        <w:t xml:space="preserve"> </w:t>
      </w:r>
      <w:r w:rsidRPr="00B74524">
        <w:rPr>
          <w:rFonts w:cs="Arial"/>
          <w:i/>
          <w:color w:val="4F81BD" w:themeColor="accent1"/>
        </w:rPr>
        <w:t>[</w:t>
      </w:r>
      <w:r w:rsidR="00B74524" w:rsidRPr="00B74524">
        <w:rPr>
          <w:rFonts w:cs="Arial"/>
          <w:i/>
          <w:color w:val="4F81BD" w:themeColor="accent1"/>
        </w:rPr>
        <w:t>name of sub-processor</w:t>
      </w:r>
      <w:r w:rsidRPr="00B74524">
        <w:rPr>
          <w:rFonts w:cs="Arial"/>
          <w:i/>
          <w:color w:val="4F81BD" w:themeColor="accent1"/>
        </w:rPr>
        <w:t xml:space="preserve"> ] </w:t>
      </w:r>
      <w:r w:rsidRPr="00B74524">
        <w:rPr>
          <w:rFonts w:cs="Arial"/>
          <w:i/>
        </w:rPr>
        <w:t xml:space="preserve">having its offices at </w:t>
      </w:r>
      <w:r w:rsidRPr="00B74524">
        <w:rPr>
          <w:rFonts w:cs="Arial"/>
          <w:i/>
          <w:color w:val="4F81BD" w:themeColor="accent1"/>
        </w:rPr>
        <w:t>[</w:t>
      </w:r>
      <w:r w:rsidR="00B74524" w:rsidRPr="00B74524">
        <w:rPr>
          <w:rFonts w:cs="Arial"/>
          <w:i/>
          <w:color w:val="4F81BD" w:themeColor="accent1"/>
        </w:rPr>
        <w:t>address of sub-processor]</w:t>
      </w:r>
      <w:r w:rsidRPr="00B74524">
        <w:rPr>
          <w:rFonts w:cs="Arial"/>
          <w:i/>
          <w:color w:val="4F81BD" w:themeColor="accent1"/>
        </w:rPr>
        <w:t xml:space="preserve">                </w:t>
      </w:r>
      <w:r w:rsidRPr="00B74524">
        <w:rPr>
          <w:rFonts w:cs="Arial"/>
          <w:i/>
        </w:rPr>
        <w:t xml:space="preserve"> (hereinafter referred to as the “Data Sub-Processor”); </w:t>
      </w:r>
    </w:p>
    <w:p w14:paraId="652FC802" w14:textId="77777777" w:rsidR="00260A23" w:rsidRDefault="00260A23" w:rsidP="00260A23">
      <w:pPr>
        <w:jc w:val="both"/>
        <w:rPr>
          <w:rFonts w:cs="Arial"/>
          <w:i/>
          <w:highlight w:val="lightGray"/>
          <w:lang w:eastAsia="en-GB"/>
        </w:rPr>
      </w:pPr>
    </w:p>
    <w:p w14:paraId="262A632D" w14:textId="432B72CA" w:rsidR="00B82051" w:rsidRDefault="00B82051" w:rsidP="00260A23">
      <w:pPr>
        <w:jc w:val="both"/>
        <w:rPr>
          <w:rFonts w:cs="Arial"/>
          <w:b/>
          <w:lang w:eastAsia="en-GB"/>
        </w:rPr>
      </w:pPr>
    </w:p>
    <w:p w14:paraId="1079CAD8" w14:textId="77777777" w:rsidR="00B82051" w:rsidRPr="00B82051" w:rsidRDefault="00B82051" w:rsidP="00B82051">
      <w:pPr>
        <w:jc w:val="both"/>
        <w:rPr>
          <w:b/>
          <w:lang w:eastAsia="en-GB"/>
        </w:rPr>
      </w:pPr>
      <w:r w:rsidRPr="00B82051">
        <w:rPr>
          <w:b/>
          <w:lang w:eastAsia="en-GB"/>
        </w:rPr>
        <w:t>Preambles</w:t>
      </w:r>
    </w:p>
    <w:p w14:paraId="2B676BC7" w14:textId="77777777" w:rsidR="00B82051" w:rsidRPr="00B82051" w:rsidRDefault="00B82051" w:rsidP="00B82051">
      <w:pPr>
        <w:ind w:left="284"/>
        <w:jc w:val="both"/>
        <w:rPr>
          <w:b/>
          <w:lang w:eastAsia="en-GB"/>
        </w:rPr>
      </w:pPr>
    </w:p>
    <w:p w14:paraId="4BC315E7" w14:textId="0AE68F5F" w:rsidR="004F3CC9" w:rsidRPr="0095529F" w:rsidRDefault="00B82051" w:rsidP="004F3CC9">
      <w:pPr>
        <w:numPr>
          <w:ilvl w:val="2"/>
          <w:numId w:val="16"/>
        </w:numPr>
        <w:tabs>
          <w:tab w:val="left" w:pos="426"/>
          <w:tab w:val="num" w:pos="993"/>
        </w:tabs>
        <w:ind w:left="993" w:hanging="709"/>
        <w:jc w:val="both"/>
        <w:rPr>
          <w:rFonts w:cs="Arial"/>
          <w:lang w:eastAsia="en-GB"/>
        </w:rPr>
      </w:pPr>
      <w:r w:rsidRPr="00B82051">
        <w:rPr>
          <w:lang w:eastAsia="en-GB"/>
        </w:rPr>
        <w:t xml:space="preserve">Where the </w:t>
      </w:r>
      <w:r>
        <w:rPr>
          <w:lang w:eastAsia="en-GB"/>
        </w:rPr>
        <w:t xml:space="preserve">Data </w:t>
      </w:r>
      <w:r w:rsidR="003D740C">
        <w:rPr>
          <w:lang w:eastAsia="en-GB"/>
        </w:rPr>
        <w:t>Processor</w:t>
      </w:r>
      <w:r w:rsidRPr="00B82051">
        <w:rPr>
          <w:lang w:eastAsia="en-GB"/>
        </w:rPr>
        <w:t xml:space="preserve"> requires the </w:t>
      </w:r>
      <w:r w:rsidR="003D740C">
        <w:rPr>
          <w:lang w:eastAsia="en-GB"/>
        </w:rPr>
        <w:t xml:space="preserve">Sub-processor </w:t>
      </w:r>
      <w:r w:rsidRPr="00B82051">
        <w:rPr>
          <w:lang w:eastAsia="en-GB"/>
        </w:rPr>
        <w:t xml:space="preserve">to provide the </w:t>
      </w:r>
      <w:r w:rsidR="003D740C">
        <w:rPr>
          <w:lang w:eastAsia="en-GB"/>
        </w:rPr>
        <w:t>Data Controller</w:t>
      </w:r>
      <w:r w:rsidRPr="00B82051">
        <w:rPr>
          <w:lang w:eastAsia="en-GB"/>
        </w:rPr>
        <w:t xml:space="preserve"> with data processing services as part of the obligations of the </w:t>
      </w:r>
      <w:r w:rsidR="003D740C">
        <w:rPr>
          <w:lang w:eastAsia="en-GB"/>
        </w:rPr>
        <w:t>Sub-processor</w:t>
      </w:r>
      <w:r w:rsidRPr="00B82051">
        <w:rPr>
          <w:lang w:eastAsia="en-GB"/>
        </w:rPr>
        <w:t xml:space="preserve"> pursuant to </w:t>
      </w:r>
      <w:r w:rsidRPr="004F3CC9">
        <w:rPr>
          <w:lang w:eastAsia="en-GB"/>
        </w:rPr>
        <w:t>th</w:t>
      </w:r>
      <w:r w:rsidR="004F3CC9" w:rsidRPr="004F3CC9">
        <w:rPr>
          <w:lang w:eastAsia="en-GB"/>
        </w:rPr>
        <w:t>e</w:t>
      </w:r>
      <w:r w:rsidRPr="004F3CC9">
        <w:rPr>
          <w:lang w:eastAsia="en-GB"/>
        </w:rPr>
        <w:t xml:space="preserve"> </w:t>
      </w:r>
      <w:r w:rsidR="004F3CC9" w:rsidRPr="004F3CC9">
        <w:rPr>
          <w:rFonts w:cs="Arial"/>
          <w:lang w:eastAsia="en-GB"/>
        </w:rPr>
        <w:t>Contract</w:t>
      </w:r>
      <w:r w:rsidR="004F3CC9" w:rsidRPr="004F3CC9">
        <w:rPr>
          <w:rFonts w:cs="Arial"/>
          <w:lang w:val="mt-MT" w:eastAsia="en-GB"/>
        </w:rPr>
        <w:t xml:space="preserve"> – Service Contract </w:t>
      </w:r>
      <w:r w:rsidR="004F3CC9" w:rsidRPr="004F3CC9">
        <w:rPr>
          <w:rFonts w:cs="Arial"/>
          <w:lang w:val="en-GB" w:eastAsia="en-GB"/>
        </w:rPr>
        <w:t>[ Contract number]</w:t>
      </w:r>
      <w:r w:rsidR="004F3CC9" w:rsidRPr="004F3CC9">
        <w:rPr>
          <w:rFonts w:cs="Arial"/>
          <w:shd w:val="clear" w:color="auto" w:fill="D9D9D9" w:themeFill="background1" w:themeFillShade="D9"/>
          <w:lang w:eastAsia="en-GB"/>
        </w:rPr>
        <w:t>.</w:t>
      </w:r>
    </w:p>
    <w:p w14:paraId="399E8AAF" w14:textId="162C28B8" w:rsidR="00B82051" w:rsidRPr="00B82051" w:rsidRDefault="00B82051" w:rsidP="00E26C39">
      <w:pPr>
        <w:tabs>
          <w:tab w:val="left" w:pos="426"/>
          <w:tab w:val="num" w:pos="2160"/>
        </w:tabs>
        <w:ind w:left="993"/>
        <w:jc w:val="both"/>
        <w:rPr>
          <w:lang w:eastAsia="en-GB"/>
        </w:rPr>
      </w:pPr>
      <w:r w:rsidRPr="00B82051">
        <w:rPr>
          <w:lang w:eastAsia="en-GB"/>
        </w:rPr>
        <w:t>.</w:t>
      </w:r>
    </w:p>
    <w:p w14:paraId="123B29CD" w14:textId="77777777" w:rsidR="00B82051" w:rsidRPr="00B82051" w:rsidRDefault="00B82051" w:rsidP="00B82051">
      <w:pPr>
        <w:tabs>
          <w:tab w:val="left" w:pos="426"/>
          <w:tab w:val="num" w:pos="993"/>
        </w:tabs>
        <w:ind w:left="993" w:hanging="709"/>
        <w:jc w:val="both"/>
        <w:rPr>
          <w:lang w:eastAsia="en-GB"/>
        </w:rPr>
      </w:pPr>
    </w:p>
    <w:p w14:paraId="02BF693B" w14:textId="39A5B2E1" w:rsidR="00B82051" w:rsidRPr="00B82051" w:rsidRDefault="00B82051" w:rsidP="00B82051">
      <w:pPr>
        <w:numPr>
          <w:ilvl w:val="2"/>
          <w:numId w:val="16"/>
        </w:numPr>
        <w:tabs>
          <w:tab w:val="left" w:pos="426"/>
          <w:tab w:val="num" w:pos="993"/>
        </w:tabs>
        <w:ind w:left="993" w:hanging="709"/>
        <w:jc w:val="both"/>
        <w:rPr>
          <w:lang w:eastAsia="en-GB"/>
        </w:rPr>
      </w:pPr>
      <w:r w:rsidRPr="00B82051">
        <w:rPr>
          <w:lang w:eastAsia="en-GB"/>
        </w:rPr>
        <w:t xml:space="preserve">Whereas the </w:t>
      </w:r>
      <w:r w:rsidR="003D740C">
        <w:rPr>
          <w:lang w:eastAsia="en-GB"/>
        </w:rPr>
        <w:t>Sub-processor</w:t>
      </w:r>
      <w:r w:rsidRPr="00B82051">
        <w:rPr>
          <w:lang w:eastAsia="en-GB"/>
        </w:rPr>
        <w:t xml:space="preserve"> is willing to provide these Services to the </w:t>
      </w:r>
      <w:r w:rsidR="003D740C">
        <w:rPr>
          <w:lang w:eastAsia="en-GB"/>
        </w:rPr>
        <w:t>Data Controller</w:t>
      </w:r>
      <w:r w:rsidRPr="00B82051">
        <w:rPr>
          <w:lang w:eastAsia="en-GB"/>
        </w:rPr>
        <w:t>.</w:t>
      </w:r>
    </w:p>
    <w:p w14:paraId="0434A20D" w14:textId="77777777" w:rsidR="00B82051" w:rsidRPr="00D64B14" w:rsidRDefault="00B82051" w:rsidP="00B82051">
      <w:pPr>
        <w:ind w:left="2340" w:firstLine="720"/>
        <w:jc w:val="both"/>
        <w:rPr>
          <w:rFonts w:ascii="Arial" w:hAnsi="Arial" w:cs="Arial"/>
          <w:b/>
          <w:lang w:eastAsia="en-GB"/>
        </w:rPr>
      </w:pPr>
    </w:p>
    <w:p w14:paraId="7239873E" w14:textId="77777777" w:rsidR="00B82051" w:rsidRPr="00D64B14" w:rsidRDefault="00B82051" w:rsidP="00B82051">
      <w:pPr>
        <w:ind w:left="284"/>
        <w:jc w:val="both"/>
        <w:rPr>
          <w:rFonts w:ascii="Arial" w:hAnsi="Arial" w:cs="Arial"/>
          <w:b/>
          <w:lang w:eastAsia="en-GB"/>
        </w:rPr>
      </w:pPr>
    </w:p>
    <w:p w14:paraId="51113438" w14:textId="4FDFFCD9" w:rsidR="007433CE" w:rsidRPr="00C1039E" w:rsidRDefault="00C1039E" w:rsidP="007433CE">
      <w:pPr>
        <w:pStyle w:val="ListParagraph"/>
        <w:numPr>
          <w:ilvl w:val="0"/>
          <w:numId w:val="13"/>
        </w:numPr>
        <w:rPr>
          <w:b/>
          <w:noProof/>
          <w:lang w:val="en-US" w:eastAsia="en-US"/>
        </w:rPr>
      </w:pPr>
      <w:r w:rsidRPr="00C1039E">
        <w:rPr>
          <w:b/>
          <w:noProof/>
          <w:lang w:val="en-US" w:eastAsia="en-US"/>
        </w:rPr>
        <w:t xml:space="preserve">Definitions </w:t>
      </w:r>
    </w:p>
    <w:p w14:paraId="5B24EC32" w14:textId="77777777" w:rsidR="007433CE" w:rsidRPr="00C1039E" w:rsidRDefault="007433CE" w:rsidP="007433CE">
      <w:pPr>
        <w:pStyle w:val="ListParagraph"/>
        <w:ind w:left="360"/>
        <w:rPr>
          <w:b/>
          <w:noProof/>
          <w:lang w:val="en-US" w:eastAsia="en-US"/>
        </w:rPr>
      </w:pPr>
    </w:p>
    <w:p w14:paraId="1EF9DA00" w14:textId="4D948F17" w:rsidR="00B82051" w:rsidRPr="00C1039E" w:rsidRDefault="00B82051" w:rsidP="00FB374C">
      <w:pPr>
        <w:spacing w:after="240"/>
        <w:ind w:left="142"/>
        <w:jc w:val="both"/>
      </w:pPr>
      <w:r w:rsidRPr="00C1039E">
        <w:rPr>
          <w:b/>
        </w:rPr>
        <w:t xml:space="preserve">‘Business Purpose/ Purpose’ </w:t>
      </w:r>
      <w:r w:rsidRPr="00C1039E">
        <w:t xml:space="preserve">means the purpose/s specified in Annex </w:t>
      </w:r>
      <w:r w:rsidR="00BF6F8A">
        <w:t>I and Annex II</w:t>
      </w:r>
      <w:r w:rsidRPr="00C1039E">
        <w:t xml:space="preserve"> (Purposes for which the Data Processor may process Personal Data). </w:t>
      </w:r>
    </w:p>
    <w:p w14:paraId="722D02C5" w14:textId="77777777" w:rsidR="00B82051" w:rsidRPr="00C1039E" w:rsidRDefault="00B82051" w:rsidP="00FB374C">
      <w:pPr>
        <w:spacing w:after="240"/>
        <w:ind w:left="142"/>
        <w:jc w:val="both"/>
        <w:rPr>
          <w:b/>
          <w:lang w:eastAsia="en-GB"/>
        </w:rPr>
      </w:pPr>
      <w:r w:rsidRPr="00C1039E">
        <w:rPr>
          <w:b/>
          <w:lang w:eastAsia="en-GB"/>
        </w:rPr>
        <w:t xml:space="preserve">‘Confidential Information’ </w:t>
      </w:r>
      <w:r w:rsidRPr="00C1039E">
        <w:rPr>
          <w:lang w:eastAsia="en-GB"/>
        </w:rPr>
        <w:t>means such data as defined in Clause 6 of this Schedule.</w:t>
      </w:r>
      <w:r w:rsidRPr="00C1039E">
        <w:rPr>
          <w:b/>
          <w:lang w:eastAsia="en-GB"/>
        </w:rPr>
        <w:t xml:space="preserve"> </w:t>
      </w:r>
    </w:p>
    <w:p w14:paraId="43D0386D" w14:textId="77777777" w:rsidR="00B82051" w:rsidRPr="00C1039E" w:rsidRDefault="00B82051" w:rsidP="00FB374C">
      <w:pPr>
        <w:spacing w:after="240"/>
        <w:ind w:left="142"/>
        <w:jc w:val="both"/>
        <w:rPr>
          <w:lang w:eastAsia="en-GB"/>
        </w:rPr>
      </w:pPr>
      <w:r w:rsidRPr="00C1039E">
        <w:rPr>
          <w:b/>
          <w:lang w:eastAsia="en-GB"/>
        </w:rPr>
        <w:t xml:space="preserve">‘Data Protection Legislation / Data Protection Regime’ </w:t>
      </w:r>
      <w:r w:rsidRPr="00C1039E">
        <w:rPr>
          <w:lang w:eastAsia="en-GB"/>
        </w:rPr>
        <w:t xml:space="preserve">means the General Data Protection Regulation (EU) 2016/679 (GDPR), and the Data Protection Act 2018 (Cap 586) on the protection of natural persons with regard to the processing of personal data, and on the free movement of such data whether held electronically or in manual form.  </w:t>
      </w:r>
    </w:p>
    <w:p w14:paraId="261186FD" w14:textId="77777777" w:rsidR="00B82051" w:rsidRPr="00C1039E" w:rsidRDefault="00B82051" w:rsidP="00FB374C">
      <w:pPr>
        <w:spacing w:after="240"/>
        <w:ind w:left="142"/>
        <w:jc w:val="both"/>
        <w:rPr>
          <w:b/>
        </w:rPr>
      </w:pPr>
      <w:r w:rsidRPr="00C1039E">
        <w:rPr>
          <w:b/>
        </w:rPr>
        <w:t xml:space="preserve">‘Data Controller / Controller’ </w:t>
      </w:r>
      <w:r w:rsidRPr="00C1039E">
        <w:t xml:space="preserve">shall have the same meaning of ‘controller’ as set out in the GDP Regulation. </w:t>
      </w:r>
    </w:p>
    <w:p w14:paraId="09746624" w14:textId="77777777" w:rsidR="00B82051" w:rsidRPr="00C1039E" w:rsidRDefault="00B82051" w:rsidP="00FB374C">
      <w:pPr>
        <w:spacing w:after="240"/>
        <w:ind w:left="142"/>
        <w:jc w:val="both"/>
        <w:rPr>
          <w:lang w:eastAsia="en-GB"/>
        </w:rPr>
      </w:pPr>
      <w:r w:rsidRPr="00C1039E">
        <w:rPr>
          <w:b/>
          <w:lang w:eastAsia="en-GB"/>
        </w:rPr>
        <w:t xml:space="preserve">‘Data Loss Event’ </w:t>
      </w:r>
      <w:r w:rsidRPr="00C1039E">
        <w:rPr>
          <w:lang w:eastAsia="en-GB"/>
        </w:rPr>
        <w:t xml:space="preserve">means any event that results, or may result, in unauthorised access to Personal Data held by the Data Processor under this Schedule and/or actual or potential loss and/or destruction of Personal Data in breach of this Schedule, including any Personal Data Breach. </w:t>
      </w:r>
    </w:p>
    <w:p w14:paraId="517F1877" w14:textId="77777777" w:rsidR="00B82051" w:rsidRPr="00C1039E" w:rsidRDefault="00B82051" w:rsidP="00FB374C">
      <w:pPr>
        <w:spacing w:after="240"/>
        <w:ind w:left="142"/>
        <w:jc w:val="both"/>
      </w:pPr>
      <w:r w:rsidRPr="00C1039E">
        <w:rPr>
          <w:b/>
        </w:rPr>
        <w:lastRenderedPageBreak/>
        <w:t xml:space="preserve">‘Data Processor / Processor’ </w:t>
      </w:r>
      <w:r w:rsidRPr="00C1039E">
        <w:t xml:space="preserve">shall have the same meaning of ‘processor’ as set out in the GDP Regulation. </w:t>
      </w:r>
    </w:p>
    <w:p w14:paraId="13DA7F93" w14:textId="77777777" w:rsidR="00B82051" w:rsidRPr="00C1039E" w:rsidRDefault="00B82051" w:rsidP="00FB374C">
      <w:pPr>
        <w:spacing w:after="240"/>
        <w:ind w:left="142"/>
        <w:jc w:val="both"/>
        <w:rPr>
          <w:lang w:eastAsia="en-GB"/>
        </w:rPr>
      </w:pPr>
      <w:r w:rsidRPr="00C1039E">
        <w:rPr>
          <w:b/>
          <w:lang w:eastAsia="en-GB"/>
        </w:rPr>
        <w:t xml:space="preserve">‘Data Processor System’ </w:t>
      </w:r>
      <w:r w:rsidRPr="00C1039E">
        <w:rPr>
          <w:lang w:eastAsia="en-GB"/>
        </w:rPr>
        <w:t xml:space="preserve">means the information and communication technology used by the Data Processor in the provision of the Service. </w:t>
      </w:r>
    </w:p>
    <w:p w14:paraId="405CE4EC" w14:textId="77777777" w:rsidR="00B82051" w:rsidRPr="00C1039E" w:rsidRDefault="00B82051" w:rsidP="00FB374C">
      <w:pPr>
        <w:spacing w:after="240"/>
        <w:ind w:left="142"/>
        <w:jc w:val="both"/>
        <w:rPr>
          <w:lang w:eastAsia="en-GB"/>
        </w:rPr>
      </w:pPr>
      <w:r w:rsidRPr="00C1039E">
        <w:rPr>
          <w:b/>
          <w:lang w:eastAsia="en-GB"/>
        </w:rPr>
        <w:t xml:space="preserve">‘Data Protection Impact Assessment’ </w:t>
      </w:r>
      <w:r w:rsidRPr="00C1039E">
        <w:rPr>
          <w:lang w:eastAsia="en-GB"/>
        </w:rPr>
        <w:t>means an assessment by the Controller of the impact of the envisaged processing on the protection of Personal Data.</w:t>
      </w:r>
    </w:p>
    <w:p w14:paraId="46C70641" w14:textId="77777777" w:rsidR="00B82051" w:rsidRPr="00C1039E" w:rsidRDefault="00B82051" w:rsidP="00FB374C">
      <w:pPr>
        <w:spacing w:after="240"/>
        <w:ind w:left="142"/>
        <w:jc w:val="both"/>
      </w:pPr>
      <w:r w:rsidRPr="00C1039E">
        <w:rPr>
          <w:b/>
        </w:rPr>
        <w:t xml:space="preserve">‘Data Subject’ </w:t>
      </w:r>
      <w:r w:rsidRPr="00C1039E">
        <w:t>shall have the same meaning of ‘data subject’ as set out in the GDP Regulation.</w:t>
      </w:r>
    </w:p>
    <w:p w14:paraId="5C47C141" w14:textId="77777777" w:rsidR="00B82051" w:rsidRPr="00C1039E" w:rsidRDefault="00B82051" w:rsidP="00FB374C">
      <w:pPr>
        <w:spacing w:after="240"/>
        <w:ind w:left="142"/>
        <w:jc w:val="both"/>
        <w:rPr>
          <w:lang w:eastAsia="en-GB"/>
        </w:rPr>
      </w:pPr>
      <w:r w:rsidRPr="00C1039E">
        <w:rPr>
          <w:b/>
          <w:lang w:eastAsia="en-GB"/>
        </w:rPr>
        <w:t xml:space="preserve">‘Data Subject Access Request’ </w:t>
      </w:r>
      <w:r w:rsidRPr="00C1039E">
        <w:rPr>
          <w:lang w:eastAsia="en-GB"/>
        </w:rPr>
        <w:t xml:space="preserve">means a request made by, or on behalf of, a Data Subject in accordance with rights granted pursuant to the Data Protection Legislation to access their Personal Data. </w:t>
      </w:r>
    </w:p>
    <w:p w14:paraId="47CDCC0E" w14:textId="77777777" w:rsidR="00B82051" w:rsidRPr="00C1039E" w:rsidRDefault="00B82051" w:rsidP="00FB374C">
      <w:pPr>
        <w:spacing w:after="240"/>
        <w:ind w:left="142"/>
        <w:jc w:val="both"/>
      </w:pPr>
      <w:r w:rsidRPr="00C1039E">
        <w:rPr>
          <w:b/>
        </w:rPr>
        <w:t xml:space="preserve">‘Personal Data’ </w:t>
      </w:r>
      <w:r w:rsidRPr="00C1039E">
        <w:t>shall have the same meaning of ‘personal data’ as set out in the GDP Regulation.</w:t>
      </w:r>
    </w:p>
    <w:p w14:paraId="3D1A0F13" w14:textId="77777777" w:rsidR="00B82051" w:rsidRPr="00C1039E" w:rsidRDefault="00B82051" w:rsidP="00FB374C">
      <w:pPr>
        <w:spacing w:after="240"/>
        <w:ind w:left="142"/>
        <w:jc w:val="both"/>
      </w:pPr>
      <w:r w:rsidRPr="00C1039E">
        <w:rPr>
          <w:b/>
        </w:rPr>
        <w:t xml:space="preserve">‘Personal Data Breach’ </w:t>
      </w:r>
      <w:r w:rsidRPr="00C1039E">
        <w:t>shall have the same meaning as set out in the GDP Regulation.</w:t>
      </w:r>
    </w:p>
    <w:p w14:paraId="2BC12B83" w14:textId="77777777" w:rsidR="00B82051" w:rsidRPr="00C1039E" w:rsidRDefault="00B82051" w:rsidP="00FB374C">
      <w:pPr>
        <w:spacing w:after="240"/>
        <w:ind w:left="142"/>
        <w:jc w:val="both"/>
      </w:pPr>
      <w:r w:rsidRPr="00C1039E">
        <w:rPr>
          <w:b/>
        </w:rPr>
        <w:t xml:space="preserve">‘Process’ </w:t>
      </w:r>
      <w:r w:rsidRPr="00C1039E">
        <w:t xml:space="preserve">shall have the same meaning of ‘processing’ as set out in the GDP Regulation.   </w:t>
      </w:r>
    </w:p>
    <w:p w14:paraId="2CAF11BD" w14:textId="77777777" w:rsidR="00B82051" w:rsidRPr="00C1039E" w:rsidRDefault="00B82051" w:rsidP="00FB374C">
      <w:pPr>
        <w:spacing w:after="240"/>
        <w:ind w:left="142"/>
        <w:jc w:val="both"/>
      </w:pPr>
      <w:r w:rsidRPr="00C1039E">
        <w:rPr>
          <w:b/>
        </w:rPr>
        <w:t xml:space="preserve">‘Protective Measures’ </w:t>
      </w:r>
      <w:r w:rsidRPr="00C1039E">
        <w:t xml:space="preserve">means the measures to be taken by the Data Processor in line with Article 32 of the GDP Regulation to protect against Personal Data Breaches, including technical and organization measures which may include pseudonymizing and encrypting, measures to ensure confidentiality, integrity availability and resilience of systems and services, and measures to ensure that availability of and access to Personal Data can be restored in a timely manner after an incident, and measures to regularly assess and evaluate the effectiveness of the measures adopted by it. </w:t>
      </w:r>
    </w:p>
    <w:p w14:paraId="53484EA2" w14:textId="77777777" w:rsidR="00B82051" w:rsidRPr="00C1039E" w:rsidRDefault="00B82051" w:rsidP="00FB374C">
      <w:pPr>
        <w:spacing w:after="240"/>
        <w:ind w:left="142"/>
        <w:jc w:val="both"/>
      </w:pPr>
      <w:r w:rsidRPr="00C1039E">
        <w:rPr>
          <w:b/>
        </w:rPr>
        <w:t xml:space="preserve">‘Service’ </w:t>
      </w:r>
      <w:r w:rsidRPr="00C1039E">
        <w:t xml:space="preserve">means the service to be provided by the Contractor to the Customer as detailed in the main Contract. </w:t>
      </w:r>
    </w:p>
    <w:p w14:paraId="17FD87ED" w14:textId="2F3102A7" w:rsidR="00B82051" w:rsidRPr="00C1039E" w:rsidRDefault="00B82051" w:rsidP="00FB374C">
      <w:pPr>
        <w:spacing w:after="240"/>
        <w:ind w:left="142"/>
        <w:jc w:val="both"/>
      </w:pPr>
      <w:r w:rsidRPr="00C1039E">
        <w:rPr>
          <w:b/>
        </w:rPr>
        <w:t xml:space="preserve">‘Sub-Processor’ </w:t>
      </w:r>
      <w:r w:rsidRPr="00C1039E">
        <w:t xml:space="preserve">means any third party appointed </w:t>
      </w:r>
      <w:r w:rsidR="00A1059A" w:rsidRPr="00C1039E">
        <w:t xml:space="preserve">by the Data Processor </w:t>
      </w:r>
      <w:r w:rsidRPr="00C1039E">
        <w:t xml:space="preserve">to process Personal Data on behalf of the Data Controller related to the Contract. </w:t>
      </w:r>
    </w:p>
    <w:p w14:paraId="7454583A" w14:textId="77777777" w:rsidR="00B82051" w:rsidRPr="00C1039E" w:rsidRDefault="00B82051" w:rsidP="00FB374C">
      <w:pPr>
        <w:spacing w:after="240"/>
        <w:ind w:left="142"/>
        <w:jc w:val="both"/>
        <w:rPr>
          <w:b/>
        </w:rPr>
      </w:pPr>
      <w:r w:rsidRPr="00C1039E">
        <w:rPr>
          <w:b/>
        </w:rPr>
        <w:t xml:space="preserve"> ‘Software’ </w:t>
      </w:r>
      <w:r w:rsidRPr="00C1039E">
        <w:t xml:space="preserve">shall have the same meaning as defined in the Contract. </w:t>
      </w:r>
    </w:p>
    <w:p w14:paraId="16D3808D" w14:textId="77777777" w:rsidR="00484E2C" w:rsidRPr="00C1039E" w:rsidRDefault="00484E2C" w:rsidP="00A23CC8">
      <w:pPr>
        <w:spacing w:before="120"/>
        <w:rPr>
          <w:bCs/>
          <w:i/>
          <w:color w:val="4F81BD" w:themeColor="accent1"/>
          <w:lang w:val="en-US"/>
        </w:rPr>
      </w:pPr>
    </w:p>
    <w:p w14:paraId="17A9110F" w14:textId="00D3DC6E" w:rsidR="005A3848" w:rsidRPr="00C1039E" w:rsidRDefault="00484E2C" w:rsidP="00484E2C">
      <w:pPr>
        <w:pStyle w:val="ListParagraph"/>
        <w:numPr>
          <w:ilvl w:val="0"/>
          <w:numId w:val="13"/>
        </w:numPr>
        <w:rPr>
          <w:b/>
          <w:noProof/>
          <w:lang w:val="en-US" w:eastAsia="en-US"/>
        </w:rPr>
      </w:pPr>
      <w:r w:rsidRPr="00C1039E">
        <w:rPr>
          <w:b/>
          <w:noProof/>
          <w:lang w:val="en-US" w:eastAsia="en-US"/>
        </w:rPr>
        <w:t xml:space="preserve">Purpose of the Agreement </w:t>
      </w:r>
    </w:p>
    <w:p w14:paraId="027D4BBF" w14:textId="2C6DE408" w:rsidR="00AA296F" w:rsidRPr="00C1039E" w:rsidRDefault="00AA296F" w:rsidP="00DE0DB9">
      <w:pPr>
        <w:spacing w:before="120"/>
        <w:jc w:val="both"/>
        <w:rPr>
          <w:lang w:val="en-US"/>
        </w:rPr>
      </w:pPr>
      <w:r w:rsidRPr="00C1039E">
        <w:rPr>
          <w:lang w:val="en-US"/>
        </w:rPr>
        <w:t xml:space="preserve">The purpose of the </w:t>
      </w:r>
      <w:r w:rsidR="005371FA" w:rsidRPr="00C1039E">
        <w:rPr>
          <w:lang w:val="en-US"/>
        </w:rPr>
        <w:t xml:space="preserve">Data Protection </w:t>
      </w:r>
      <w:r w:rsidRPr="00C1039E">
        <w:rPr>
          <w:lang w:val="en-US"/>
        </w:rPr>
        <w:t xml:space="preserve">Agreement is to regulate rights and obligations in relation to the applicable </w:t>
      </w:r>
      <w:r w:rsidR="00134E3F" w:rsidRPr="00C1039E">
        <w:rPr>
          <w:lang w:eastAsia="en-GB"/>
        </w:rPr>
        <w:t xml:space="preserve">Data Protection Act 2018 (Cap 586) of the laws of Malta </w:t>
      </w:r>
      <w:r w:rsidRPr="00C1039E">
        <w:rPr>
          <w:lang w:val="en-US"/>
        </w:rPr>
        <w:t>and EUs General Data Protection Regulation 2016/679 of 27 April 2016 (“GDPR”).</w:t>
      </w:r>
    </w:p>
    <w:p w14:paraId="0F142576" w14:textId="7C87D33C" w:rsidR="00AA296F" w:rsidRPr="00C1039E" w:rsidRDefault="00AA296F" w:rsidP="00DE0DB9">
      <w:pPr>
        <w:spacing w:before="120"/>
        <w:jc w:val="both"/>
        <w:rPr>
          <w:lang w:val="en-US"/>
        </w:rPr>
      </w:pPr>
      <w:r w:rsidRPr="00C1039E">
        <w:rPr>
          <w:lang w:val="en-US"/>
        </w:rPr>
        <w:t xml:space="preserve">The </w:t>
      </w:r>
      <w:r w:rsidR="00851C52" w:rsidRPr="00C1039E">
        <w:rPr>
          <w:lang w:val="en-US"/>
        </w:rPr>
        <w:t xml:space="preserve">Data Protection </w:t>
      </w:r>
      <w:r w:rsidRPr="00C1039E">
        <w:rPr>
          <w:lang w:val="en-US"/>
        </w:rPr>
        <w:t xml:space="preserve">Agreement governs the processing of personal data by sub-processors on behalf of </w:t>
      </w:r>
      <w:r w:rsidR="00594DE6">
        <w:rPr>
          <w:lang w:val="en-US"/>
        </w:rPr>
        <w:t>D</w:t>
      </w:r>
      <w:r w:rsidRPr="00C1039E">
        <w:rPr>
          <w:lang w:val="en-US"/>
        </w:rPr>
        <w:t xml:space="preserve">ata </w:t>
      </w:r>
      <w:r w:rsidR="00594DE6">
        <w:rPr>
          <w:lang w:val="en-US"/>
        </w:rPr>
        <w:t>P</w:t>
      </w:r>
      <w:r w:rsidRPr="00C1039E">
        <w:rPr>
          <w:lang w:val="en-US"/>
        </w:rPr>
        <w:t xml:space="preserve">rocessors, including the collection, registration, compilation, storage or disclosure of personal data, or combinations thereof, in connection with </w:t>
      </w:r>
      <w:r w:rsidRPr="00C1039E">
        <w:rPr>
          <w:i/>
          <w:color w:val="0070C0"/>
          <w:lang w:val="en-US"/>
        </w:rPr>
        <w:t xml:space="preserve">[name of project] </w:t>
      </w:r>
      <w:r w:rsidRPr="00C1039E">
        <w:rPr>
          <w:lang w:val="en-US"/>
        </w:rPr>
        <w:t xml:space="preserve">in accordance with agreement between the parties </w:t>
      </w:r>
      <w:proofErr w:type="gramStart"/>
      <w:r w:rsidRPr="00C1039E">
        <w:rPr>
          <w:lang w:val="en-US"/>
        </w:rPr>
        <w:t>entered into</w:t>
      </w:r>
      <w:proofErr w:type="gramEnd"/>
      <w:r w:rsidRPr="00C1039E">
        <w:rPr>
          <w:lang w:val="en-US"/>
        </w:rPr>
        <w:t xml:space="preserve"> </w:t>
      </w:r>
      <w:r w:rsidRPr="00C1039E">
        <w:rPr>
          <w:i/>
          <w:color w:val="0070C0"/>
          <w:lang w:val="en-US"/>
        </w:rPr>
        <w:t>[date]</w:t>
      </w:r>
      <w:r w:rsidRPr="00C1039E">
        <w:rPr>
          <w:color w:val="0070C0"/>
          <w:lang w:val="en-US"/>
        </w:rPr>
        <w:t xml:space="preserve"> </w:t>
      </w:r>
      <w:r w:rsidRPr="00C1039E">
        <w:rPr>
          <w:lang w:val="en-US"/>
        </w:rPr>
        <w:t xml:space="preserve">("Main </w:t>
      </w:r>
      <w:r w:rsidR="00646657" w:rsidRPr="00C1039E">
        <w:rPr>
          <w:lang w:val="en-US"/>
        </w:rPr>
        <w:t>Service Contract</w:t>
      </w:r>
      <w:r w:rsidR="00ED4097" w:rsidRPr="00C1039E">
        <w:rPr>
          <w:lang w:val="en-US"/>
        </w:rPr>
        <w:t xml:space="preserve"> Agreement</w:t>
      </w:r>
      <w:r w:rsidRPr="00C1039E">
        <w:rPr>
          <w:lang w:val="en-US"/>
        </w:rPr>
        <w:t>").</w:t>
      </w:r>
    </w:p>
    <w:p w14:paraId="0463296F" w14:textId="56769BBA" w:rsidR="00AA296F" w:rsidRPr="00C1039E" w:rsidRDefault="00AA296F" w:rsidP="00DE0DB9">
      <w:pPr>
        <w:spacing w:before="120"/>
        <w:jc w:val="both"/>
        <w:rPr>
          <w:lang w:val="en-US"/>
        </w:rPr>
      </w:pPr>
      <w:r w:rsidRPr="00C1039E">
        <w:rPr>
          <w:lang w:val="en-US"/>
        </w:rPr>
        <w:t xml:space="preserve">Sub-processor understands that the Data Processor </w:t>
      </w:r>
      <w:r w:rsidRPr="00EE755D">
        <w:rPr>
          <w:b/>
          <w:bCs/>
          <w:lang w:val="en-US"/>
        </w:rPr>
        <w:t>acts on behalf of a Data Controller</w:t>
      </w:r>
      <w:r w:rsidRPr="00C1039E">
        <w:rPr>
          <w:lang w:val="en-US"/>
        </w:rPr>
        <w:t xml:space="preserve"> for the personal data covered by the agreement, and that Sub-processor are subject to similar </w:t>
      </w:r>
      <w:r w:rsidRPr="00C1039E">
        <w:rPr>
          <w:lang w:val="en-US"/>
        </w:rPr>
        <w:lastRenderedPageBreak/>
        <w:t>obligations as the Data Processor is required by the Data Controller in accordance with Article 28 (4) GDPR.</w:t>
      </w:r>
    </w:p>
    <w:p w14:paraId="6B394849" w14:textId="61EAEB46" w:rsidR="00AA296F" w:rsidRPr="00C1039E" w:rsidRDefault="00AA296F" w:rsidP="00DE0DB9">
      <w:pPr>
        <w:spacing w:before="120"/>
        <w:jc w:val="both"/>
        <w:rPr>
          <w:lang w:val="en-US"/>
        </w:rPr>
      </w:pPr>
      <w:r w:rsidRPr="00C1039E">
        <w:rPr>
          <w:lang w:val="en-US"/>
        </w:rPr>
        <w:t xml:space="preserve">The agreement shall ensure that personal data is not used illegally, </w:t>
      </w:r>
      <w:proofErr w:type="gramStart"/>
      <w:r w:rsidRPr="00C1039E">
        <w:rPr>
          <w:lang w:val="en-US"/>
        </w:rPr>
        <w:t>unlawfully</w:t>
      </w:r>
      <w:proofErr w:type="gramEnd"/>
      <w:r w:rsidRPr="00C1039E">
        <w:rPr>
          <w:lang w:val="en-US"/>
        </w:rPr>
        <w:t xml:space="preserve"> or that the information is processed in ways that lead to </w:t>
      </w:r>
      <w:proofErr w:type="spellStart"/>
      <w:r w:rsidR="00FB42FF">
        <w:rPr>
          <w:lang w:val="en-US"/>
        </w:rPr>
        <w:t>unauthorised</w:t>
      </w:r>
      <w:proofErr w:type="spellEnd"/>
      <w:r w:rsidRPr="00C1039E">
        <w:rPr>
          <w:lang w:val="en-US"/>
        </w:rPr>
        <w:t xml:space="preserve"> access, alteration, deletion, damage, loss or inaccessibility.</w:t>
      </w:r>
    </w:p>
    <w:p w14:paraId="0F9704DE" w14:textId="0A0027D8" w:rsidR="00AA296F" w:rsidRPr="00C1039E" w:rsidRDefault="00AA296F" w:rsidP="00DE0DB9">
      <w:pPr>
        <w:spacing w:before="120"/>
        <w:jc w:val="both"/>
        <w:rPr>
          <w:lang w:val="en-US"/>
        </w:rPr>
      </w:pPr>
      <w:r w:rsidRPr="00C1039E">
        <w:rPr>
          <w:lang w:val="en-US"/>
        </w:rPr>
        <w:t>In the event of a conflict, the terms of this agreement shall precede the privacy statement of the Sub-</w:t>
      </w:r>
      <w:proofErr w:type="gramStart"/>
      <w:r w:rsidRPr="00C1039E">
        <w:rPr>
          <w:lang w:val="en-US"/>
        </w:rPr>
        <w:t>processor</w:t>
      </w:r>
      <w:proofErr w:type="gramEnd"/>
      <w:r w:rsidRPr="00C1039E">
        <w:rPr>
          <w:lang w:val="en-US"/>
        </w:rPr>
        <w:t xml:space="preserve"> or the terms of other agreements entered into between the Data Processor and the Sub-processor in connection with the main agreement.</w:t>
      </w:r>
    </w:p>
    <w:p w14:paraId="2FA2854D" w14:textId="57423168" w:rsidR="00AA296F" w:rsidRPr="00C1039E" w:rsidRDefault="00AA296F" w:rsidP="00DE0DB9">
      <w:pPr>
        <w:spacing w:before="120"/>
        <w:jc w:val="both"/>
        <w:rPr>
          <w:lang w:val="en-US"/>
        </w:rPr>
      </w:pPr>
      <w:r w:rsidRPr="00C1039E">
        <w:rPr>
          <w:lang w:val="en-US"/>
        </w:rPr>
        <w:t xml:space="preserve">It must be stated in Annex </w:t>
      </w:r>
      <w:r w:rsidR="00BF6F8A">
        <w:rPr>
          <w:lang w:val="en-US"/>
        </w:rPr>
        <w:t>I</w:t>
      </w:r>
      <w:r w:rsidR="000E1A88">
        <w:rPr>
          <w:lang w:val="en-US"/>
        </w:rPr>
        <w:t>II</w:t>
      </w:r>
      <w:r w:rsidRPr="00C1039E">
        <w:rPr>
          <w:lang w:val="en-US"/>
        </w:rPr>
        <w:t xml:space="preserve"> to the agreement if the Sub-processor can use its own sub-contractors under the Agreement, including for storage, processing or other use, cf. clause 8.</w:t>
      </w:r>
    </w:p>
    <w:p w14:paraId="5D838DCA" w14:textId="5DE11DCD" w:rsidR="00ED4097" w:rsidRPr="00C1039E" w:rsidRDefault="00AA296F" w:rsidP="00DE0DB9">
      <w:pPr>
        <w:spacing w:before="120"/>
        <w:jc w:val="both"/>
        <w:rPr>
          <w:lang w:val="en-US"/>
        </w:rPr>
      </w:pPr>
      <w:r w:rsidRPr="00C1039E">
        <w:rPr>
          <w:lang w:val="en-US"/>
        </w:rPr>
        <w:t xml:space="preserve">The purpose of the processing, the types of processing activities, categories of data subjects and the types of personal data that will be processed are set out in Annex 1 </w:t>
      </w:r>
      <w:r w:rsidR="00BF6F8A">
        <w:rPr>
          <w:lang w:val="en-US"/>
        </w:rPr>
        <w:t xml:space="preserve">and Annex II </w:t>
      </w:r>
      <w:r w:rsidRPr="00C1039E">
        <w:rPr>
          <w:lang w:val="en-US"/>
        </w:rPr>
        <w:t xml:space="preserve">of the Agreement. </w:t>
      </w:r>
    </w:p>
    <w:p w14:paraId="47269DDC" w14:textId="0FBBE590" w:rsidR="00AA296F" w:rsidRPr="00C1039E" w:rsidRDefault="00AA296F" w:rsidP="00DE0DB9">
      <w:pPr>
        <w:spacing w:before="120"/>
        <w:jc w:val="both"/>
        <w:rPr>
          <w:lang w:val="en-US"/>
        </w:rPr>
      </w:pPr>
      <w:r w:rsidRPr="00C1039E">
        <w:rPr>
          <w:lang w:val="en-US"/>
        </w:rPr>
        <w:t>These conditions cannot be changed by either party without a new agreement or an amendment to the agreement being signed</w:t>
      </w:r>
      <w:r w:rsidR="000E1A88">
        <w:rPr>
          <w:lang w:val="en-US"/>
        </w:rPr>
        <w:t xml:space="preserve"> by the Data Controller</w:t>
      </w:r>
      <w:r w:rsidRPr="00C1039E">
        <w:rPr>
          <w:lang w:val="en-US"/>
        </w:rPr>
        <w:t>.</w:t>
      </w:r>
    </w:p>
    <w:p w14:paraId="076D2541" w14:textId="77777777" w:rsidR="009069FE" w:rsidRPr="00C1039E" w:rsidRDefault="009069FE" w:rsidP="009069FE">
      <w:pPr>
        <w:rPr>
          <w:lang w:val="en-US" w:eastAsia="en-US"/>
        </w:rPr>
      </w:pPr>
      <w:bookmarkStart w:id="0" w:name="_Toc231181834"/>
    </w:p>
    <w:p w14:paraId="0506C92E" w14:textId="3F4E5B01" w:rsidR="00115CDD" w:rsidRPr="00C1039E" w:rsidRDefault="00F2552D" w:rsidP="00115CDD">
      <w:pPr>
        <w:pStyle w:val="Heading2"/>
        <w:spacing w:before="120"/>
        <w:rPr>
          <w:rFonts w:ascii="Times New Roman" w:hAnsi="Times New Roman"/>
          <w:sz w:val="24"/>
          <w:szCs w:val="24"/>
        </w:rPr>
      </w:pPr>
      <w:r>
        <w:rPr>
          <w:rFonts w:ascii="Times New Roman" w:hAnsi="Times New Roman"/>
          <w:sz w:val="24"/>
          <w:szCs w:val="24"/>
        </w:rPr>
        <w:t>3</w:t>
      </w:r>
      <w:r w:rsidR="00F7557B" w:rsidRPr="00C1039E">
        <w:rPr>
          <w:rFonts w:ascii="Times New Roman" w:hAnsi="Times New Roman"/>
          <w:sz w:val="24"/>
          <w:szCs w:val="24"/>
        </w:rPr>
        <w:t xml:space="preserve">. </w:t>
      </w:r>
      <w:bookmarkEnd w:id="0"/>
      <w:r w:rsidR="006F7706" w:rsidRPr="00C1039E">
        <w:rPr>
          <w:rFonts w:ascii="Times New Roman" w:hAnsi="Times New Roman"/>
          <w:sz w:val="24"/>
          <w:szCs w:val="24"/>
        </w:rPr>
        <w:t>Processing</w:t>
      </w:r>
    </w:p>
    <w:p w14:paraId="675CFC53" w14:textId="5AFDB7D1" w:rsidR="00115CDD" w:rsidRPr="00C1039E" w:rsidRDefault="00115CDD" w:rsidP="00DE0DB9">
      <w:pPr>
        <w:spacing w:before="120"/>
        <w:jc w:val="both"/>
        <w:rPr>
          <w:lang w:val="en-US"/>
        </w:rPr>
      </w:pPr>
      <w:r w:rsidRPr="00C1039E">
        <w:rPr>
          <w:lang w:val="en-US"/>
        </w:rPr>
        <w:t>Sub-processors shall follow the written and documented instructions for the processing of personal data that the Data Processor has decided to apply.</w:t>
      </w:r>
    </w:p>
    <w:p w14:paraId="7548EDAA" w14:textId="4EDD8524" w:rsidR="00115CDD" w:rsidRPr="00C1039E" w:rsidRDefault="00115CDD" w:rsidP="00DE0DB9">
      <w:pPr>
        <w:spacing w:before="120"/>
        <w:jc w:val="both"/>
        <w:rPr>
          <w:lang w:val="en-US"/>
        </w:rPr>
      </w:pPr>
      <w:r w:rsidRPr="00C1039E">
        <w:rPr>
          <w:lang w:val="en-US"/>
        </w:rPr>
        <w:t>Sub-data processors undertake to comply with all obligations in accordance with the applicable personal data l</w:t>
      </w:r>
      <w:r w:rsidR="006F7706" w:rsidRPr="00C1039E">
        <w:rPr>
          <w:lang w:val="en-US"/>
        </w:rPr>
        <w:t>egislation</w:t>
      </w:r>
      <w:r w:rsidRPr="00C1039E">
        <w:rPr>
          <w:lang w:val="en-US"/>
        </w:rPr>
        <w:t xml:space="preserve"> applicable to the processing of personal data.</w:t>
      </w:r>
    </w:p>
    <w:p w14:paraId="09D29A15" w14:textId="775B1FF7" w:rsidR="00115CDD" w:rsidRPr="00C1039E" w:rsidRDefault="00115CDD" w:rsidP="00DE0DB9">
      <w:pPr>
        <w:spacing w:before="120"/>
        <w:jc w:val="both"/>
        <w:rPr>
          <w:lang w:val="en-US"/>
        </w:rPr>
      </w:pPr>
      <w:r w:rsidRPr="00C1039E">
        <w:rPr>
          <w:lang w:val="en-US"/>
        </w:rPr>
        <w:t>Sub-processor undertakes to notify Data Processor if Sub-processor receives instructions from Data Processor that violates the privacy regulations.</w:t>
      </w:r>
    </w:p>
    <w:p w14:paraId="10E71C77" w14:textId="01789980" w:rsidR="00432E81" w:rsidRPr="00C1039E" w:rsidRDefault="00432E81" w:rsidP="00364D78">
      <w:pPr>
        <w:rPr>
          <w:lang w:val="en-US"/>
        </w:rPr>
      </w:pPr>
      <w:bookmarkStart w:id="1" w:name="_Toc231181835"/>
    </w:p>
    <w:p w14:paraId="0382F258" w14:textId="729A494E" w:rsidR="00115CDD" w:rsidRPr="00C1039E" w:rsidRDefault="00F2552D" w:rsidP="00115CDD">
      <w:pPr>
        <w:pStyle w:val="Heading2"/>
        <w:spacing w:before="120"/>
        <w:rPr>
          <w:rFonts w:ascii="Times New Roman" w:hAnsi="Times New Roman"/>
          <w:sz w:val="24"/>
          <w:szCs w:val="24"/>
          <w:lang w:val="en-US"/>
        </w:rPr>
      </w:pPr>
      <w:r>
        <w:rPr>
          <w:rFonts w:ascii="Times New Roman" w:hAnsi="Times New Roman"/>
          <w:sz w:val="24"/>
          <w:szCs w:val="24"/>
          <w:lang w:val="en-US"/>
        </w:rPr>
        <w:t>4</w:t>
      </w:r>
      <w:r w:rsidR="00F7557B" w:rsidRPr="00C1039E">
        <w:rPr>
          <w:rFonts w:ascii="Times New Roman" w:hAnsi="Times New Roman"/>
          <w:sz w:val="24"/>
          <w:szCs w:val="24"/>
          <w:lang w:val="en-US"/>
        </w:rPr>
        <w:t xml:space="preserve">. </w:t>
      </w:r>
      <w:bookmarkEnd w:id="1"/>
      <w:r w:rsidR="00115CDD" w:rsidRPr="00C1039E">
        <w:rPr>
          <w:rFonts w:ascii="Times New Roman" w:hAnsi="Times New Roman"/>
          <w:sz w:val="24"/>
          <w:szCs w:val="24"/>
          <w:lang w:val="en-US"/>
        </w:rPr>
        <w:t xml:space="preserve">The </w:t>
      </w:r>
      <w:r w:rsidR="00FB374C">
        <w:rPr>
          <w:rFonts w:ascii="Times New Roman" w:hAnsi="Times New Roman"/>
          <w:sz w:val="24"/>
          <w:szCs w:val="24"/>
          <w:lang w:val="en-US"/>
        </w:rPr>
        <w:t>R</w:t>
      </w:r>
      <w:r w:rsidR="00115CDD" w:rsidRPr="00C1039E">
        <w:rPr>
          <w:rFonts w:ascii="Times New Roman" w:hAnsi="Times New Roman"/>
          <w:sz w:val="24"/>
          <w:szCs w:val="24"/>
          <w:lang w:val="en-US"/>
        </w:rPr>
        <w:t xml:space="preserve">ights of </w:t>
      </w:r>
      <w:r w:rsidR="00CF704E" w:rsidRPr="00C1039E">
        <w:rPr>
          <w:rFonts w:ascii="Times New Roman" w:hAnsi="Times New Roman"/>
          <w:sz w:val="24"/>
          <w:szCs w:val="24"/>
          <w:lang w:val="en-US"/>
        </w:rPr>
        <w:t>Data</w:t>
      </w:r>
      <w:r w:rsidR="00115CDD" w:rsidRPr="00C1039E">
        <w:rPr>
          <w:rFonts w:ascii="Times New Roman" w:hAnsi="Times New Roman"/>
          <w:sz w:val="24"/>
          <w:szCs w:val="24"/>
          <w:lang w:val="en-US"/>
        </w:rPr>
        <w:t xml:space="preserve"> </w:t>
      </w:r>
      <w:r w:rsidR="00CF704E" w:rsidRPr="00C1039E">
        <w:rPr>
          <w:rFonts w:ascii="Times New Roman" w:hAnsi="Times New Roman"/>
          <w:sz w:val="24"/>
          <w:szCs w:val="24"/>
          <w:lang w:val="en-US"/>
        </w:rPr>
        <w:t>S</w:t>
      </w:r>
      <w:r w:rsidR="00115CDD" w:rsidRPr="00C1039E">
        <w:rPr>
          <w:rFonts w:ascii="Times New Roman" w:hAnsi="Times New Roman"/>
          <w:sz w:val="24"/>
          <w:szCs w:val="24"/>
          <w:lang w:val="en-US"/>
        </w:rPr>
        <w:t>ubjects</w:t>
      </w:r>
    </w:p>
    <w:p w14:paraId="0FBCA097" w14:textId="005648EB" w:rsidR="00F2552D" w:rsidRPr="00F2552D" w:rsidRDefault="004975CC" w:rsidP="00F2552D">
      <w:pPr>
        <w:spacing w:before="280" w:after="120"/>
        <w:jc w:val="both"/>
        <w:outlineLvl w:val="1"/>
        <w:rPr>
          <w:color w:val="000000"/>
        </w:rPr>
      </w:pPr>
      <w:r w:rsidRPr="00F2552D">
        <w:rPr>
          <w:color w:val="000000"/>
        </w:rPr>
        <w:t>The Sub-processor shall notify the Data Processor immediately if it:</w:t>
      </w:r>
    </w:p>
    <w:p w14:paraId="3CF9387D" w14:textId="77777777" w:rsidR="004975CC" w:rsidRPr="00C1039E" w:rsidRDefault="004975CC" w:rsidP="004975CC">
      <w:pPr>
        <w:pStyle w:val="ListParagraph"/>
        <w:numPr>
          <w:ilvl w:val="2"/>
          <w:numId w:val="19"/>
        </w:numPr>
        <w:spacing w:before="280" w:after="120"/>
        <w:jc w:val="both"/>
        <w:outlineLvl w:val="1"/>
        <w:rPr>
          <w:color w:val="000000"/>
        </w:rPr>
      </w:pPr>
      <w:r w:rsidRPr="00C1039E">
        <w:rPr>
          <w:color w:val="000000"/>
        </w:rPr>
        <w:t>receives a Data Subject Access Request (or purported Data Subject Access Request);</w:t>
      </w:r>
    </w:p>
    <w:p w14:paraId="3FF8E5C2" w14:textId="77777777" w:rsidR="004975CC" w:rsidRPr="00C1039E" w:rsidRDefault="004975CC" w:rsidP="004975CC">
      <w:pPr>
        <w:pStyle w:val="ListParagraph"/>
        <w:numPr>
          <w:ilvl w:val="2"/>
          <w:numId w:val="19"/>
        </w:numPr>
        <w:spacing w:before="280" w:after="120"/>
        <w:jc w:val="both"/>
        <w:outlineLvl w:val="1"/>
        <w:rPr>
          <w:color w:val="000000"/>
        </w:rPr>
      </w:pPr>
      <w:r w:rsidRPr="00C1039E">
        <w:rPr>
          <w:color w:val="000000"/>
        </w:rPr>
        <w:t>receives a request to rectify, block or erase any Personal Data;</w:t>
      </w:r>
    </w:p>
    <w:p w14:paraId="5CF59013" w14:textId="49D5654C" w:rsidR="00C1039E" w:rsidRPr="00F2552D" w:rsidRDefault="004975CC" w:rsidP="00F2552D">
      <w:pPr>
        <w:pStyle w:val="ListParagraph"/>
        <w:numPr>
          <w:ilvl w:val="2"/>
          <w:numId w:val="19"/>
        </w:numPr>
        <w:spacing w:before="280" w:after="120"/>
        <w:jc w:val="both"/>
        <w:outlineLvl w:val="1"/>
        <w:rPr>
          <w:color w:val="000000"/>
        </w:rPr>
      </w:pPr>
      <w:r w:rsidRPr="00C1039E">
        <w:rPr>
          <w:color w:val="000000"/>
        </w:rPr>
        <w:t>receives any other request, complaint or communication relating to either Party’s obligations under the Data Protection Legislation;</w:t>
      </w:r>
    </w:p>
    <w:p w14:paraId="7BF409DD" w14:textId="625A5B55" w:rsidR="00C1039E" w:rsidRPr="00F2552D" w:rsidRDefault="004975CC" w:rsidP="00F2552D">
      <w:pPr>
        <w:pStyle w:val="ListParagraph"/>
        <w:numPr>
          <w:ilvl w:val="2"/>
          <w:numId w:val="19"/>
        </w:numPr>
        <w:spacing w:before="280" w:after="120"/>
        <w:jc w:val="both"/>
        <w:outlineLvl w:val="1"/>
        <w:rPr>
          <w:color w:val="000000"/>
        </w:rPr>
      </w:pPr>
      <w:r w:rsidRPr="00C1039E">
        <w:rPr>
          <w:color w:val="000000"/>
        </w:rPr>
        <w:t>receives any communication from the Data Protection Commissioner or any other regulatory / supervisory authority in connection with this Schedule; and</w:t>
      </w:r>
    </w:p>
    <w:p w14:paraId="05C43591" w14:textId="6B5BA54A" w:rsidR="004975CC" w:rsidRPr="00C1039E" w:rsidRDefault="004975CC" w:rsidP="004975CC">
      <w:pPr>
        <w:pStyle w:val="ListParagraph"/>
        <w:numPr>
          <w:ilvl w:val="2"/>
          <w:numId w:val="19"/>
        </w:numPr>
        <w:spacing w:before="280" w:after="120"/>
        <w:jc w:val="both"/>
        <w:outlineLvl w:val="1"/>
        <w:rPr>
          <w:color w:val="000000"/>
        </w:rPr>
      </w:pPr>
      <w:r w:rsidRPr="00C1039E">
        <w:rPr>
          <w:color w:val="000000"/>
        </w:rPr>
        <w:t>receives a request from any third party for disclosure of Personal Data where compliance with such request is required or purports to be required by law.</w:t>
      </w:r>
    </w:p>
    <w:p w14:paraId="6B19769A" w14:textId="5347B286" w:rsidR="00115CDD" w:rsidRPr="00C1039E" w:rsidRDefault="00115CDD" w:rsidP="00DE0DB9">
      <w:pPr>
        <w:spacing w:before="120"/>
        <w:jc w:val="both"/>
        <w:rPr>
          <w:lang w:val="en-US"/>
        </w:rPr>
      </w:pPr>
      <w:r w:rsidRPr="00C1039E">
        <w:rPr>
          <w:lang w:val="en-US"/>
        </w:rPr>
        <w:t xml:space="preserve">The Sub-processor is obliged to assist the Data Processor in the treatment of the data subject's compliance with the data subject's rights in accordance with data </w:t>
      </w:r>
      <w:r w:rsidR="00CF704E" w:rsidRPr="00C1039E">
        <w:rPr>
          <w:lang w:val="en-US"/>
        </w:rPr>
        <w:t xml:space="preserve">protection </w:t>
      </w:r>
      <w:r w:rsidRPr="00C1039E">
        <w:rPr>
          <w:lang w:val="en-US"/>
        </w:rPr>
        <w:t>legislation.</w:t>
      </w:r>
    </w:p>
    <w:p w14:paraId="4AE7D9CC" w14:textId="77777777" w:rsidR="00115CDD" w:rsidRPr="00C1039E" w:rsidRDefault="00115CDD" w:rsidP="00DE0DB9">
      <w:pPr>
        <w:spacing w:before="120"/>
        <w:jc w:val="both"/>
        <w:rPr>
          <w:lang w:val="en-US"/>
        </w:rPr>
      </w:pPr>
      <w:r w:rsidRPr="00C1039E">
        <w:rPr>
          <w:lang w:val="en-US"/>
        </w:rPr>
        <w:t>The data subject's rights include the right to information on how his or her personal data is processed, the right to demand access to his own personal data, the right to demand rectification or deletion of his personal data and the right to demand the processing of his personal data.</w:t>
      </w:r>
    </w:p>
    <w:p w14:paraId="3B9B37A8" w14:textId="16F51DE0" w:rsidR="00115CDD" w:rsidRPr="00C1039E" w:rsidRDefault="00115CDD" w:rsidP="00DE0DB9">
      <w:pPr>
        <w:spacing w:before="120"/>
        <w:jc w:val="both"/>
        <w:rPr>
          <w:lang w:val="en-US"/>
        </w:rPr>
      </w:pPr>
      <w:r w:rsidRPr="00C1039E">
        <w:rPr>
          <w:lang w:val="en-US"/>
        </w:rPr>
        <w:lastRenderedPageBreak/>
        <w:t>To the extent applicable, the Sub-processor shall assist the Data Processor in connection with the Data Controller's protection of data subjects' right to data portability and the right to oppose automatic decisions, including profiling.</w:t>
      </w:r>
    </w:p>
    <w:p w14:paraId="17F85D64" w14:textId="5BC71580" w:rsidR="00115CDD" w:rsidRPr="00C1039E" w:rsidRDefault="00115CDD" w:rsidP="00DE0DB9">
      <w:pPr>
        <w:spacing w:before="120"/>
        <w:jc w:val="both"/>
        <w:rPr>
          <w:lang w:val="en-US"/>
        </w:rPr>
      </w:pPr>
      <w:r w:rsidRPr="00C1039E">
        <w:rPr>
          <w:lang w:val="en-US"/>
        </w:rPr>
        <w:t>Sub-processor is liable to the data subject if errors or negligence of Sub-processor incurs the recorded financial or non-financial losses due to their rights or privacy being violated.</w:t>
      </w:r>
    </w:p>
    <w:p w14:paraId="49CA48EE" w14:textId="77777777" w:rsidR="00284714" w:rsidRPr="00C1039E" w:rsidRDefault="00284714" w:rsidP="00DE0DB9">
      <w:pPr>
        <w:spacing w:before="120"/>
        <w:jc w:val="both"/>
        <w:rPr>
          <w:lang w:val="en-US"/>
        </w:rPr>
      </w:pPr>
    </w:p>
    <w:p w14:paraId="2AA31102" w14:textId="46E48441" w:rsidR="00115CDD" w:rsidRPr="00C1039E" w:rsidRDefault="00F2552D" w:rsidP="00DE0DB9">
      <w:pPr>
        <w:spacing w:before="120"/>
        <w:jc w:val="both"/>
        <w:rPr>
          <w:b/>
        </w:rPr>
      </w:pPr>
      <w:r>
        <w:rPr>
          <w:b/>
        </w:rPr>
        <w:t>5</w:t>
      </w:r>
      <w:r w:rsidR="00284714" w:rsidRPr="00C1039E">
        <w:rPr>
          <w:b/>
        </w:rPr>
        <w:t xml:space="preserve">. </w:t>
      </w:r>
      <w:r w:rsidR="009105DF" w:rsidRPr="00C1039E">
        <w:rPr>
          <w:b/>
        </w:rPr>
        <w:t>I</w:t>
      </w:r>
      <w:r w:rsidR="00115CDD" w:rsidRPr="00C1039E">
        <w:rPr>
          <w:b/>
        </w:rPr>
        <w:t>nformation security</w:t>
      </w:r>
    </w:p>
    <w:p w14:paraId="692A2FBF" w14:textId="12E57EC8" w:rsidR="00115CDD" w:rsidRPr="00C1039E" w:rsidRDefault="00115CDD" w:rsidP="00DE0DB9">
      <w:pPr>
        <w:spacing w:before="120"/>
        <w:jc w:val="both"/>
        <w:rPr>
          <w:lang w:val="en-US"/>
        </w:rPr>
      </w:pPr>
      <w:r w:rsidRPr="00C1039E">
        <w:rPr>
          <w:lang w:val="en-US"/>
        </w:rPr>
        <w:t xml:space="preserve">Sub-processor shall ensure appropriate technical, </w:t>
      </w:r>
      <w:proofErr w:type="gramStart"/>
      <w:r w:rsidRPr="00C1039E">
        <w:rPr>
          <w:lang w:val="en-US"/>
        </w:rPr>
        <w:t>physical</w:t>
      </w:r>
      <w:proofErr w:type="gramEnd"/>
      <w:r w:rsidRPr="00C1039E">
        <w:rPr>
          <w:lang w:val="en-US"/>
        </w:rPr>
        <w:t xml:space="preserve"> and </w:t>
      </w:r>
      <w:proofErr w:type="spellStart"/>
      <w:r w:rsidRPr="00C1039E">
        <w:rPr>
          <w:lang w:val="en-US"/>
        </w:rPr>
        <w:t>organi</w:t>
      </w:r>
      <w:r w:rsidR="00FB42FF">
        <w:rPr>
          <w:lang w:val="en-US"/>
        </w:rPr>
        <w:t>s</w:t>
      </w:r>
      <w:r w:rsidRPr="00C1039E">
        <w:rPr>
          <w:lang w:val="en-US"/>
        </w:rPr>
        <w:t>ational</w:t>
      </w:r>
      <w:proofErr w:type="spellEnd"/>
      <w:r w:rsidRPr="00C1039E">
        <w:rPr>
          <w:lang w:val="en-US"/>
        </w:rPr>
        <w:t xml:space="preserve"> security measures to protect personal data covered by this Agreement against </w:t>
      </w:r>
      <w:proofErr w:type="spellStart"/>
      <w:r w:rsidR="00FB42FF">
        <w:rPr>
          <w:lang w:val="en-US"/>
        </w:rPr>
        <w:t>unauthorised</w:t>
      </w:r>
      <w:proofErr w:type="spellEnd"/>
      <w:r w:rsidRPr="00C1039E">
        <w:rPr>
          <w:lang w:val="en-US"/>
        </w:rPr>
        <w:t xml:space="preserve"> or unlawful access, alteration, deletion, damage, loss or inaccessibility.</w:t>
      </w:r>
    </w:p>
    <w:p w14:paraId="084A3DB2" w14:textId="0E3A254F" w:rsidR="00115CDD" w:rsidRPr="00C1039E" w:rsidRDefault="00115CDD" w:rsidP="00DE0DB9">
      <w:pPr>
        <w:spacing w:before="120"/>
        <w:jc w:val="both"/>
        <w:rPr>
          <w:lang w:val="en-US"/>
        </w:rPr>
      </w:pPr>
      <w:r w:rsidRPr="00C1039E">
        <w:rPr>
          <w:lang w:val="en-US"/>
        </w:rPr>
        <w:t>Sub-processor must document their own security organi</w:t>
      </w:r>
      <w:r w:rsidR="00FB42FF">
        <w:rPr>
          <w:lang w:val="en-US"/>
        </w:rPr>
        <w:t>s</w:t>
      </w:r>
      <w:r w:rsidRPr="00C1039E">
        <w:rPr>
          <w:lang w:val="en-US"/>
        </w:rPr>
        <w:t xml:space="preserve">ation, guidelines and procedures for security work, risk assessments and established technical, </w:t>
      </w:r>
      <w:proofErr w:type="gramStart"/>
      <w:r w:rsidRPr="00C1039E">
        <w:rPr>
          <w:lang w:val="en-US"/>
        </w:rPr>
        <w:t>physical</w:t>
      </w:r>
      <w:proofErr w:type="gramEnd"/>
      <w:r w:rsidRPr="00C1039E">
        <w:rPr>
          <w:lang w:val="en-US"/>
        </w:rPr>
        <w:t xml:space="preserve"> or </w:t>
      </w:r>
      <w:proofErr w:type="spellStart"/>
      <w:r w:rsidR="00FB42FF">
        <w:rPr>
          <w:lang w:val="en-US"/>
        </w:rPr>
        <w:t>organisational</w:t>
      </w:r>
      <w:proofErr w:type="spellEnd"/>
      <w:r w:rsidR="00FB42FF">
        <w:rPr>
          <w:lang w:val="en-US"/>
        </w:rPr>
        <w:t xml:space="preserve"> </w:t>
      </w:r>
      <w:r w:rsidRPr="00C1039E">
        <w:rPr>
          <w:lang w:val="en-US"/>
        </w:rPr>
        <w:t>security measures. The documentation should be available to the data processor. Data Processor can provide the Data Controller with access to the documentation so that the Data Controller can fulfill his/her duties under the personal data legislation</w:t>
      </w:r>
      <w:r w:rsidR="00C31FC4" w:rsidRPr="00C1039E">
        <w:rPr>
          <w:lang w:val="en-US"/>
        </w:rPr>
        <w:t>s</w:t>
      </w:r>
      <w:r w:rsidRPr="00C1039E">
        <w:rPr>
          <w:lang w:val="en-US"/>
        </w:rPr>
        <w:t>.</w:t>
      </w:r>
    </w:p>
    <w:p w14:paraId="232D9AE7" w14:textId="1BDAFDEF" w:rsidR="00115CDD" w:rsidRPr="00C1039E" w:rsidRDefault="00D767DA" w:rsidP="00DE0DB9">
      <w:pPr>
        <w:spacing w:before="120"/>
        <w:jc w:val="both"/>
        <w:rPr>
          <w:lang w:val="en-US"/>
        </w:rPr>
      </w:pPr>
      <w:r w:rsidRPr="00C1039E">
        <w:rPr>
          <w:lang w:val="en-US"/>
        </w:rPr>
        <w:t>Sub-processor</w:t>
      </w:r>
      <w:r w:rsidR="00115CDD" w:rsidRPr="00C1039E">
        <w:rPr>
          <w:lang w:val="en-US"/>
        </w:rPr>
        <w:t xml:space="preserve"> will establish continuity and contingency plans for effective management of serious security incidents. The documentation should be availa</w:t>
      </w:r>
      <w:r w:rsidRPr="00C1039E">
        <w:rPr>
          <w:lang w:val="en-US"/>
        </w:rPr>
        <w:t>ble to the Data Processor. The Data P</w:t>
      </w:r>
      <w:r w:rsidR="00115CDD" w:rsidRPr="00C1039E">
        <w:rPr>
          <w:lang w:val="en-US"/>
        </w:rPr>
        <w:t xml:space="preserve">rocessor can provide the </w:t>
      </w:r>
      <w:r w:rsidRPr="00C1039E">
        <w:rPr>
          <w:lang w:val="en-US"/>
        </w:rPr>
        <w:t>Data C</w:t>
      </w:r>
      <w:r w:rsidR="00115CDD" w:rsidRPr="00C1039E">
        <w:rPr>
          <w:lang w:val="en-US"/>
        </w:rPr>
        <w:t xml:space="preserve">ontroller with access to the documentation so that the </w:t>
      </w:r>
      <w:r w:rsidRPr="00C1039E">
        <w:rPr>
          <w:lang w:val="en-US"/>
        </w:rPr>
        <w:t>Data Controller can fulfill his/</w:t>
      </w:r>
      <w:r w:rsidR="00115CDD" w:rsidRPr="00C1039E">
        <w:rPr>
          <w:lang w:val="en-US"/>
        </w:rPr>
        <w:t xml:space="preserve">her duties under the </w:t>
      </w:r>
      <w:r w:rsidR="00ED4097" w:rsidRPr="00C1039E">
        <w:rPr>
          <w:lang w:val="en-US"/>
        </w:rPr>
        <w:t>data protection</w:t>
      </w:r>
      <w:r w:rsidR="00115CDD" w:rsidRPr="00C1039E">
        <w:rPr>
          <w:lang w:val="en-US"/>
        </w:rPr>
        <w:t xml:space="preserve"> legislation</w:t>
      </w:r>
      <w:r w:rsidR="00ED4097" w:rsidRPr="00C1039E">
        <w:rPr>
          <w:lang w:val="en-US"/>
        </w:rPr>
        <w:t>s and regimes</w:t>
      </w:r>
      <w:r w:rsidR="00115CDD" w:rsidRPr="00C1039E">
        <w:rPr>
          <w:lang w:val="en-US"/>
        </w:rPr>
        <w:t>.</w:t>
      </w:r>
    </w:p>
    <w:p w14:paraId="279C5418" w14:textId="2BF1CD9E" w:rsidR="00115CDD" w:rsidRPr="00C1039E" w:rsidRDefault="00D767DA" w:rsidP="00DE0DB9">
      <w:pPr>
        <w:spacing w:before="120"/>
        <w:jc w:val="both"/>
        <w:rPr>
          <w:lang w:val="en-US"/>
        </w:rPr>
      </w:pPr>
      <w:r w:rsidRPr="00C1039E">
        <w:rPr>
          <w:lang w:val="en-US"/>
        </w:rPr>
        <w:t>Sub-processor</w:t>
      </w:r>
      <w:r w:rsidR="00115CDD" w:rsidRPr="00C1039E">
        <w:rPr>
          <w:lang w:val="en-US"/>
        </w:rPr>
        <w:t xml:space="preserve"> shall provide sufficient information and training to their own employees </w:t>
      </w:r>
      <w:proofErr w:type="gramStart"/>
      <w:r w:rsidR="00115CDD" w:rsidRPr="00C1039E">
        <w:rPr>
          <w:lang w:val="en-US"/>
        </w:rPr>
        <w:t>in order to</w:t>
      </w:r>
      <w:proofErr w:type="gramEnd"/>
      <w:r w:rsidR="00115CDD" w:rsidRPr="00C1039E">
        <w:rPr>
          <w:lang w:val="en-US"/>
        </w:rPr>
        <w:t xml:space="preserve"> safeguard the security of personal d</w:t>
      </w:r>
      <w:r w:rsidRPr="00C1039E">
        <w:rPr>
          <w:lang w:val="en-US"/>
        </w:rPr>
        <w:t>ata processed on behalf of the Data P</w:t>
      </w:r>
      <w:r w:rsidR="00115CDD" w:rsidRPr="00C1039E">
        <w:rPr>
          <w:lang w:val="en-US"/>
        </w:rPr>
        <w:t>rocessor.</w:t>
      </w:r>
    </w:p>
    <w:p w14:paraId="02DCBC6F" w14:textId="12D2065F" w:rsidR="00D767DA" w:rsidRDefault="00D767DA" w:rsidP="00DE0DB9">
      <w:pPr>
        <w:spacing w:before="120"/>
        <w:jc w:val="both"/>
        <w:rPr>
          <w:lang w:val="en-US"/>
        </w:rPr>
      </w:pPr>
      <w:r w:rsidRPr="00C1039E">
        <w:rPr>
          <w:lang w:val="en-US"/>
        </w:rPr>
        <w:t xml:space="preserve">Sub-processor </w:t>
      </w:r>
      <w:r w:rsidR="00115CDD" w:rsidRPr="00C1039E">
        <w:rPr>
          <w:lang w:val="en-US"/>
        </w:rPr>
        <w:t>must document the training of their own employees in information security. The documentation sho</w:t>
      </w:r>
      <w:r w:rsidRPr="00C1039E">
        <w:rPr>
          <w:lang w:val="en-US"/>
        </w:rPr>
        <w:t>uld be available to the Data Processor. The Data P</w:t>
      </w:r>
      <w:r w:rsidR="00115CDD" w:rsidRPr="00C1039E">
        <w:rPr>
          <w:lang w:val="en-US"/>
        </w:rPr>
        <w:t xml:space="preserve">rocessor can provide the </w:t>
      </w:r>
      <w:r w:rsidRPr="00C1039E">
        <w:rPr>
          <w:lang w:val="en-US"/>
        </w:rPr>
        <w:t>Data C</w:t>
      </w:r>
      <w:r w:rsidR="00115CDD" w:rsidRPr="00C1039E">
        <w:rPr>
          <w:lang w:val="en-US"/>
        </w:rPr>
        <w:t>ontroller with access to the documentation so that</w:t>
      </w:r>
      <w:r w:rsidRPr="00C1039E">
        <w:rPr>
          <w:lang w:val="en-US"/>
        </w:rPr>
        <w:t xml:space="preserve"> the Data Controller can fulfill his/</w:t>
      </w:r>
      <w:r w:rsidR="00115CDD" w:rsidRPr="00C1039E">
        <w:rPr>
          <w:lang w:val="en-US"/>
        </w:rPr>
        <w:t>her duties under the current personal data legislation</w:t>
      </w:r>
      <w:r w:rsidR="00ED4097" w:rsidRPr="00C1039E">
        <w:rPr>
          <w:lang w:val="en-US"/>
        </w:rPr>
        <w:t>s</w:t>
      </w:r>
      <w:r w:rsidR="00115CDD" w:rsidRPr="00C1039E">
        <w:rPr>
          <w:lang w:val="en-US"/>
        </w:rPr>
        <w:t>.</w:t>
      </w:r>
    </w:p>
    <w:p w14:paraId="4900195D" w14:textId="78013EF6" w:rsidR="00432E81" w:rsidRPr="00C1039E" w:rsidRDefault="00432E81">
      <w:pPr>
        <w:spacing w:before="120"/>
        <w:rPr>
          <w:lang w:val="en-US"/>
        </w:rPr>
      </w:pPr>
    </w:p>
    <w:p w14:paraId="46ABA4BE" w14:textId="2A5C971E" w:rsidR="00D767DA" w:rsidRPr="00C1039E" w:rsidRDefault="00F2552D" w:rsidP="00F9488D">
      <w:pPr>
        <w:spacing w:before="120"/>
        <w:rPr>
          <w:b/>
        </w:rPr>
      </w:pPr>
      <w:r>
        <w:rPr>
          <w:b/>
        </w:rPr>
        <w:t>6</w:t>
      </w:r>
      <w:r w:rsidR="00A056C0" w:rsidRPr="00C1039E">
        <w:rPr>
          <w:b/>
        </w:rPr>
        <w:t xml:space="preserve">. </w:t>
      </w:r>
      <w:r w:rsidR="00D767DA" w:rsidRPr="00C1039E">
        <w:rPr>
          <w:b/>
        </w:rPr>
        <w:t>Confidentiality</w:t>
      </w:r>
    </w:p>
    <w:p w14:paraId="6AAC8EDE" w14:textId="5A7534E9" w:rsidR="00D767DA" w:rsidRPr="00C1039E" w:rsidRDefault="00D767DA" w:rsidP="00DE0DB9">
      <w:pPr>
        <w:spacing w:before="120"/>
        <w:jc w:val="both"/>
        <w:rPr>
          <w:lang w:val="en-US"/>
        </w:rPr>
      </w:pPr>
      <w:r w:rsidRPr="00C1039E">
        <w:rPr>
          <w:lang w:val="en-US"/>
        </w:rPr>
        <w:t xml:space="preserve">Only employees of Sub-processor who have a service need for access to personal data managed on behalf of a Data Processor can be granted such access. The Sub-processor is required to document access control policies and procedures. The documentation should be available to the Data Processor. </w:t>
      </w:r>
    </w:p>
    <w:p w14:paraId="78F1DD18" w14:textId="4FBAD1AE" w:rsidR="00D767DA" w:rsidRPr="00C1039E" w:rsidRDefault="00D767DA" w:rsidP="00DE0DB9">
      <w:pPr>
        <w:spacing w:before="120"/>
        <w:jc w:val="both"/>
        <w:rPr>
          <w:lang w:val="en-US"/>
        </w:rPr>
      </w:pPr>
      <w:r w:rsidRPr="00C1039E">
        <w:rPr>
          <w:lang w:val="en-US"/>
        </w:rPr>
        <w:t>Sub-Processors shall ensure that employees of Sub-Processors are subject to a duty of confidentiality regarding documentation and personal data that they may have access to in accordance with this Agreement. This provision also applies after termination of the agreement.</w:t>
      </w:r>
    </w:p>
    <w:p w14:paraId="5EFF6A6B" w14:textId="77777777" w:rsidR="00232571" w:rsidRPr="00C1039E" w:rsidRDefault="00232571" w:rsidP="00DE0DB9">
      <w:pPr>
        <w:spacing w:before="120"/>
        <w:jc w:val="both"/>
        <w:rPr>
          <w:b/>
          <w:lang w:val="en-US"/>
        </w:rPr>
      </w:pPr>
    </w:p>
    <w:p w14:paraId="34789160" w14:textId="487D64CF" w:rsidR="00D767DA" w:rsidRPr="00C1039E" w:rsidRDefault="00F2552D" w:rsidP="00DE0DB9">
      <w:pPr>
        <w:spacing w:before="120"/>
        <w:jc w:val="both"/>
        <w:rPr>
          <w:b/>
        </w:rPr>
      </w:pPr>
      <w:r>
        <w:rPr>
          <w:b/>
        </w:rPr>
        <w:t>7</w:t>
      </w:r>
      <w:r w:rsidR="00232571" w:rsidRPr="00C1039E">
        <w:rPr>
          <w:b/>
        </w:rPr>
        <w:t xml:space="preserve">. </w:t>
      </w:r>
      <w:r w:rsidR="00D767DA" w:rsidRPr="00C1039E">
        <w:rPr>
          <w:b/>
        </w:rPr>
        <w:t>Access to documentation</w:t>
      </w:r>
    </w:p>
    <w:p w14:paraId="708FCAED" w14:textId="35D00A50" w:rsidR="00D767DA" w:rsidRPr="00C1039E" w:rsidRDefault="007A5D46" w:rsidP="00DE0DB9">
      <w:pPr>
        <w:spacing w:before="120"/>
        <w:jc w:val="both"/>
        <w:rPr>
          <w:lang w:val="en-US"/>
        </w:rPr>
      </w:pPr>
      <w:r w:rsidRPr="00C1039E">
        <w:rPr>
          <w:lang w:val="en-US"/>
        </w:rPr>
        <w:t>The S</w:t>
      </w:r>
      <w:r w:rsidR="00D767DA" w:rsidRPr="00C1039E">
        <w:rPr>
          <w:lang w:val="en-US"/>
        </w:rPr>
        <w:t>ub-processor is obliged to provi</w:t>
      </w:r>
      <w:r w:rsidRPr="00C1039E">
        <w:rPr>
          <w:lang w:val="en-US"/>
        </w:rPr>
        <w:t>de the Data P</w:t>
      </w:r>
      <w:r w:rsidR="00D767DA" w:rsidRPr="00C1039E">
        <w:rPr>
          <w:lang w:val="en-US"/>
        </w:rPr>
        <w:t>rocessor with access to all documenta</w:t>
      </w:r>
      <w:r w:rsidRPr="00C1039E">
        <w:rPr>
          <w:lang w:val="en-US"/>
        </w:rPr>
        <w:t>tion that is necessary for the Data P</w:t>
      </w:r>
      <w:r w:rsidR="00D767DA" w:rsidRPr="00C1039E">
        <w:rPr>
          <w:lang w:val="en-US"/>
        </w:rPr>
        <w:t xml:space="preserve">rocessor to assist </w:t>
      </w:r>
      <w:r w:rsidRPr="00C1039E">
        <w:rPr>
          <w:lang w:val="en-US"/>
        </w:rPr>
        <w:t xml:space="preserve">Data Controller to fulfill his/her duties under the current </w:t>
      </w:r>
      <w:r w:rsidR="0066344A" w:rsidRPr="00C1039E">
        <w:rPr>
          <w:lang w:val="en-US"/>
        </w:rPr>
        <w:t>GDPR</w:t>
      </w:r>
      <w:r w:rsidRPr="00C1039E">
        <w:rPr>
          <w:lang w:val="en-US"/>
        </w:rPr>
        <w:t xml:space="preserve"> legislation.</w:t>
      </w:r>
    </w:p>
    <w:p w14:paraId="5768EAA5" w14:textId="2FC6E79E" w:rsidR="00D767DA" w:rsidRPr="00C1039E" w:rsidRDefault="00D767DA" w:rsidP="00DE0DB9">
      <w:pPr>
        <w:spacing w:before="120"/>
        <w:jc w:val="both"/>
        <w:rPr>
          <w:lang w:val="en-US"/>
        </w:rPr>
      </w:pPr>
      <w:r w:rsidRPr="00C1039E">
        <w:rPr>
          <w:lang w:val="en-US"/>
        </w:rPr>
        <w:t xml:space="preserve">Sub-Processor is obliged to provide the </w:t>
      </w:r>
      <w:r w:rsidR="007A5D46" w:rsidRPr="00C1039E">
        <w:rPr>
          <w:lang w:val="en-US"/>
        </w:rPr>
        <w:t xml:space="preserve">Data </w:t>
      </w:r>
      <w:r w:rsidRPr="00C1039E">
        <w:rPr>
          <w:lang w:val="en-US"/>
        </w:rPr>
        <w:t xml:space="preserve">Processor with access to other relevant documentation that enables the </w:t>
      </w:r>
      <w:r w:rsidR="007A5D46" w:rsidRPr="00C1039E">
        <w:rPr>
          <w:lang w:val="en-US"/>
        </w:rPr>
        <w:t xml:space="preserve">Data </w:t>
      </w:r>
      <w:r w:rsidRPr="00C1039E">
        <w:rPr>
          <w:lang w:val="en-US"/>
        </w:rPr>
        <w:t>Proce</w:t>
      </w:r>
      <w:r w:rsidR="007A5D46" w:rsidRPr="00C1039E">
        <w:rPr>
          <w:lang w:val="en-US"/>
        </w:rPr>
        <w:t>ssor to assess whether the Sub-p</w:t>
      </w:r>
      <w:r w:rsidRPr="00C1039E">
        <w:rPr>
          <w:lang w:val="en-US"/>
        </w:rPr>
        <w:t>rocessor complies with the terms of this Agreement.</w:t>
      </w:r>
    </w:p>
    <w:p w14:paraId="638964B4" w14:textId="41747613" w:rsidR="00D767DA" w:rsidRPr="00C1039E" w:rsidRDefault="007A5D46" w:rsidP="00DE0DB9">
      <w:pPr>
        <w:spacing w:before="120"/>
        <w:jc w:val="both"/>
        <w:rPr>
          <w:lang w:val="en-US"/>
        </w:rPr>
      </w:pPr>
      <w:r w:rsidRPr="00C1039E">
        <w:rPr>
          <w:lang w:val="en-US"/>
        </w:rPr>
        <w:lastRenderedPageBreak/>
        <w:t>The Data Processor may provide the Data C</w:t>
      </w:r>
      <w:r w:rsidR="00D767DA" w:rsidRPr="00C1039E">
        <w:rPr>
          <w:lang w:val="en-US"/>
        </w:rPr>
        <w:t>ontroller with access to the documentation to enable the co</w:t>
      </w:r>
      <w:r w:rsidRPr="00C1039E">
        <w:rPr>
          <w:lang w:val="en-US"/>
        </w:rPr>
        <w:t>ntroller to fulfill his/</w:t>
      </w:r>
      <w:r w:rsidR="00D767DA" w:rsidRPr="00C1039E">
        <w:rPr>
          <w:lang w:val="en-US"/>
        </w:rPr>
        <w:t xml:space="preserve">her obligations under the applicable </w:t>
      </w:r>
      <w:r w:rsidR="0066344A" w:rsidRPr="00C1039E">
        <w:rPr>
          <w:lang w:val="en-US"/>
        </w:rPr>
        <w:t>data protection</w:t>
      </w:r>
      <w:r w:rsidR="00D767DA" w:rsidRPr="00C1039E">
        <w:rPr>
          <w:lang w:val="en-US"/>
        </w:rPr>
        <w:t xml:space="preserve"> legislation, but also has a duty of confidentiality </w:t>
      </w:r>
      <w:proofErr w:type="gramStart"/>
      <w:r w:rsidR="00D767DA" w:rsidRPr="00C1039E">
        <w:rPr>
          <w:lang w:val="en-US"/>
        </w:rPr>
        <w:t>with regard to</w:t>
      </w:r>
      <w:proofErr w:type="gramEnd"/>
      <w:r w:rsidR="00D767DA" w:rsidRPr="00C1039E">
        <w:rPr>
          <w:lang w:val="en-US"/>
        </w:rPr>
        <w:t xml:space="preserve"> confi</w:t>
      </w:r>
      <w:r w:rsidR="00771B8C" w:rsidRPr="00C1039E">
        <w:rPr>
          <w:lang w:val="en-US"/>
        </w:rPr>
        <w:t>dential documentation that the S</w:t>
      </w:r>
      <w:r w:rsidR="00D767DA" w:rsidRPr="00C1039E">
        <w:rPr>
          <w:lang w:val="en-US"/>
        </w:rPr>
        <w:t>ub-pr</w:t>
      </w:r>
      <w:r w:rsidR="00771B8C" w:rsidRPr="00C1039E">
        <w:rPr>
          <w:lang w:val="en-US"/>
        </w:rPr>
        <w:t>ocessor makes available to the Data P</w:t>
      </w:r>
      <w:r w:rsidR="00D767DA" w:rsidRPr="00C1039E">
        <w:rPr>
          <w:lang w:val="en-US"/>
        </w:rPr>
        <w:t>rocessor.</w:t>
      </w:r>
    </w:p>
    <w:p w14:paraId="6AA68CD8" w14:textId="007BF1D5" w:rsidR="009C7B56" w:rsidRPr="00C1039E" w:rsidRDefault="009C7B56" w:rsidP="00DE0DB9">
      <w:pPr>
        <w:spacing w:before="120"/>
        <w:jc w:val="both"/>
        <w:rPr>
          <w:lang w:val="en-US"/>
        </w:rPr>
      </w:pPr>
    </w:p>
    <w:p w14:paraId="127627DE" w14:textId="173D2E59" w:rsidR="009C7B56" w:rsidRPr="00C1039E" w:rsidRDefault="00F2552D" w:rsidP="00DE0DB9">
      <w:pPr>
        <w:spacing w:before="120"/>
        <w:jc w:val="both"/>
        <w:rPr>
          <w:b/>
          <w:lang w:val="en-US"/>
        </w:rPr>
      </w:pPr>
      <w:r>
        <w:rPr>
          <w:b/>
          <w:lang w:val="en-US"/>
        </w:rPr>
        <w:t>8</w:t>
      </w:r>
      <w:r w:rsidR="00771B8C" w:rsidRPr="00C1039E">
        <w:rPr>
          <w:b/>
          <w:lang w:val="en-US"/>
        </w:rPr>
        <w:t>. Duty to notify in case of security breach</w:t>
      </w:r>
    </w:p>
    <w:p w14:paraId="2143C75E" w14:textId="78F598F1" w:rsidR="009C7B56" w:rsidRPr="00C1039E" w:rsidRDefault="00771B8C" w:rsidP="00DE0DB9">
      <w:pPr>
        <w:spacing w:before="120"/>
        <w:jc w:val="both"/>
        <w:rPr>
          <w:lang w:val="en-US"/>
        </w:rPr>
      </w:pPr>
      <w:r w:rsidRPr="00C1039E">
        <w:rPr>
          <w:lang w:val="en-US"/>
        </w:rPr>
        <w:t>Sub-processor shall notify the Data Processor without undue delay if personal data processed on behalf of the Data Processor is exposed to security breaches which entail a risk of violations of the data subjects' privacy.</w:t>
      </w:r>
    </w:p>
    <w:p w14:paraId="0C244320" w14:textId="1C0943CE" w:rsidR="00771B8C" w:rsidRPr="00C1039E" w:rsidRDefault="00771B8C" w:rsidP="00DE0DB9">
      <w:pPr>
        <w:spacing w:before="120"/>
        <w:jc w:val="both"/>
        <w:rPr>
          <w:lang w:val="en-US"/>
        </w:rPr>
      </w:pPr>
      <w:bookmarkStart w:id="2" w:name="_Toc231181836"/>
      <w:r w:rsidRPr="00C1039E">
        <w:rPr>
          <w:lang w:val="en-US"/>
        </w:rPr>
        <w:t>The notification to the Data Processor shall include, as a minimum, information describing the breach, which data subjects are affected by the breach, what personal information is affected by the breach, what immediate action has been taken to deal with the breach, and any preventive measures that may have been taken to avoid it similar events in the future.</w:t>
      </w:r>
    </w:p>
    <w:p w14:paraId="1D0BE345" w14:textId="72092416" w:rsidR="00432E81" w:rsidRPr="00C1039E" w:rsidRDefault="00771B8C" w:rsidP="00DE0DB9">
      <w:pPr>
        <w:spacing w:before="120"/>
        <w:jc w:val="both"/>
        <w:rPr>
          <w:lang w:val="en-US"/>
        </w:rPr>
      </w:pPr>
      <w:r w:rsidRPr="00C1039E">
        <w:rPr>
          <w:lang w:val="en-US"/>
        </w:rPr>
        <w:t>The Data Processor is responsible for ensuring that notifications of security breaches from the Sub-processor are passed on to the Data Controller.</w:t>
      </w:r>
    </w:p>
    <w:p w14:paraId="18BA6C2A" w14:textId="77777777" w:rsidR="00432E81" w:rsidRPr="00C1039E" w:rsidRDefault="00432E81" w:rsidP="00DE0DB9">
      <w:pPr>
        <w:spacing w:before="120"/>
        <w:jc w:val="both"/>
        <w:rPr>
          <w:lang w:val="en-US"/>
        </w:rPr>
      </w:pPr>
    </w:p>
    <w:bookmarkEnd w:id="2"/>
    <w:p w14:paraId="154810F4" w14:textId="0FD1AD10" w:rsidR="00771B8C" w:rsidRPr="00C1039E" w:rsidRDefault="00771B8C" w:rsidP="00F2552D">
      <w:pPr>
        <w:pStyle w:val="Heading2"/>
        <w:numPr>
          <w:ilvl w:val="0"/>
          <w:numId w:val="24"/>
        </w:numPr>
        <w:spacing w:before="120"/>
        <w:jc w:val="both"/>
        <w:rPr>
          <w:rFonts w:ascii="Times New Roman" w:hAnsi="Times New Roman"/>
          <w:sz w:val="24"/>
          <w:szCs w:val="24"/>
        </w:rPr>
      </w:pPr>
      <w:r w:rsidRPr="00C1039E">
        <w:rPr>
          <w:rFonts w:ascii="Times New Roman" w:hAnsi="Times New Roman"/>
          <w:sz w:val="24"/>
          <w:szCs w:val="24"/>
        </w:rPr>
        <w:t>Subcontractors</w:t>
      </w:r>
    </w:p>
    <w:p w14:paraId="7F7FCFC0" w14:textId="79BDD623" w:rsidR="00771B8C" w:rsidRPr="00C1039E" w:rsidRDefault="00771B8C" w:rsidP="00DE0DB9">
      <w:pPr>
        <w:spacing w:before="120"/>
        <w:jc w:val="both"/>
        <w:rPr>
          <w:lang w:val="en-US"/>
        </w:rPr>
      </w:pPr>
      <w:r w:rsidRPr="00C1039E">
        <w:rPr>
          <w:lang w:val="en-US"/>
        </w:rPr>
        <w:t>Sub-processor is obliged to enter into separate agreements with any subcontractors that regulate the subcontractor's processing of personal data on behalf of Sub-processor.</w:t>
      </w:r>
    </w:p>
    <w:p w14:paraId="077BEC96" w14:textId="7830B905" w:rsidR="00771B8C" w:rsidRPr="00C1039E" w:rsidRDefault="00771B8C" w:rsidP="00DE0DB9">
      <w:pPr>
        <w:spacing w:before="120"/>
        <w:jc w:val="both"/>
        <w:rPr>
          <w:lang w:val="en-US"/>
        </w:rPr>
      </w:pPr>
      <w:r w:rsidRPr="00C1039E">
        <w:rPr>
          <w:lang w:val="en-US"/>
        </w:rPr>
        <w:t xml:space="preserve">In agreements between Sub-processor and subcontractors, subcontractors shall be required to fulfill all obligations that the Sub-processor itself </w:t>
      </w:r>
      <w:r w:rsidRPr="00504FB6">
        <w:rPr>
          <w:lang w:val="en-US"/>
        </w:rPr>
        <w:t>is subject</w:t>
      </w:r>
      <w:r w:rsidRPr="00C1039E">
        <w:rPr>
          <w:lang w:val="en-US"/>
        </w:rPr>
        <w:t xml:space="preserve"> to under this Agreement. The sub-processor is required to submit the agreements to Data processor on request. The Data Processor may submit the agreements to the Data Controller.</w:t>
      </w:r>
    </w:p>
    <w:p w14:paraId="24A3BA11" w14:textId="6A5EB612" w:rsidR="00771B8C" w:rsidRPr="00C1039E" w:rsidRDefault="00771B8C" w:rsidP="00DE0DB9">
      <w:pPr>
        <w:spacing w:before="120"/>
        <w:jc w:val="both"/>
        <w:rPr>
          <w:lang w:val="en-US"/>
        </w:rPr>
      </w:pPr>
      <w:r w:rsidRPr="00C1039E">
        <w:rPr>
          <w:lang w:val="en-US"/>
        </w:rPr>
        <w:t xml:space="preserve">Sub-processor shall verify that all subcontractors comply with their contractual obligations, </w:t>
      </w:r>
      <w:proofErr w:type="gramStart"/>
      <w:r w:rsidRPr="00C1039E">
        <w:rPr>
          <w:lang w:val="en-US"/>
        </w:rPr>
        <w:t>in particular that</w:t>
      </w:r>
      <w:proofErr w:type="gramEnd"/>
      <w:r w:rsidRPr="00C1039E">
        <w:rPr>
          <w:lang w:val="en-US"/>
        </w:rPr>
        <w:t xml:space="preserve"> information security is satisfactory and that subcontractor employees are aware of their obligations and fulfill them.</w:t>
      </w:r>
    </w:p>
    <w:p w14:paraId="3825DBB1" w14:textId="25203A2B" w:rsidR="00771B8C" w:rsidRPr="00C1039E" w:rsidRDefault="00771B8C" w:rsidP="00DE0DB9">
      <w:pPr>
        <w:spacing w:before="120"/>
        <w:jc w:val="both"/>
        <w:rPr>
          <w:lang w:val="en-US"/>
        </w:rPr>
      </w:pPr>
      <w:r w:rsidRPr="00C1039E">
        <w:rPr>
          <w:lang w:val="en-US"/>
        </w:rPr>
        <w:t>Da</w:t>
      </w:r>
      <w:r w:rsidR="003E46DE" w:rsidRPr="00C1039E">
        <w:rPr>
          <w:lang w:val="en-US"/>
        </w:rPr>
        <w:t>ta Processor approves that the S</w:t>
      </w:r>
      <w:r w:rsidRPr="00C1039E">
        <w:rPr>
          <w:lang w:val="en-US"/>
        </w:rPr>
        <w:t xml:space="preserve">ub-processor engages the subcontractors listed in </w:t>
      </w:r>
      <w:r w:rsidR="00F2552D">
        <w:rPr>
          <w:lang w:val="en-US"/>
        </w:rPr>
        <w:t>Annex</w:t>
      </w:r>
      <w:r w:rsidRPr="00C1039E">
        <w:rPr>
          <w:lang w:val="en-US"/>
        </w:rPr>
        <w:t xml:space="preserve"> </w:t>
      </w:r>
      <w:r w:rsidR="00F2552D">
        <w:rPr>
          <w:lang w:val="en-US"/>
        </w:rPr>
        <w:t>III</w:t>
      </w:r>
      <w:r w:rsidRPr="00C1039E">
        <w:rPr>
          <w:lang w:val="en-US"/>
        </w:rPr>
        <w:t xml:space="preserve"> to this Agreement.</w:t>
      </w:r>
    </w:p>
    <w:p w14:paraId="1F69F403" w14:textId="2CA318B6" w:rsidR="00771B8C" w:rsidRPr="00C1039E" w:rsidRDefault="003E46DE" w:rsidP="00DE0DB9">
      <w:pPr>
        <w:spacing w:before="120"/>
        <w:jc w:val="both"/>
        <w:rPr>
          <w:lang w:val="en-US"/>
        </w:rPr>
      </w:pPr>
      <w:r w:rsidRPr="00C1039E">
        <w:rPr>
          <w:lang w:val="en-US"/>
        </w:rPr>
        <w:t>Sub-processor</w:t>
      </w:r>
      <w:r w:rsidR="00771B8C" w:rsidRPr="00C1039E">
        <w:rPr>
          <w:lang w:val="en-US"/>
        </w:rPr>
        <w:t xml:space="preserve"> cannot engage subcontractors other than those listed in </w:t>
      </w:r>
      <w:r w:rsidR="00F2552D">
        <w:rPr>
          <w:lang w:val="en-US"/>
        </w:rPr>
        <w:t>Annex III</w:t>
      </w:r>
      <w:r w:rsidRPr="00C1039E">
        <w:rPr>
          <w:lang w:val="en-US"/>
        </w:rPr>
        <w:t xml:space="preserve"> without prior approval of the Data P</w:t>
      </w:r>
      <w:r w:rsidR="00771B8C" w:rsidRPr="00C1039E">
        <w:rPr>
          <w:lang w:val="en-US"/>
        </w:rPr>
        <w:t>rocessor. In the event of such a change, an amendmen</w:t>
      </w:r>
      <w:r w:rsidRPr="00C1039E">
        <w:rPr>
          <w:lang w:val="en-US"/>
        </w:rPr>
        <w:t>t document must be attached as an annex to this Agreement,</w:t>
      </w:r>
      <w:r w:rsidR="00771B8C" w:rsidRPr="00C1039E">
        <w:rPr>
          <w:lang w:val="en-US"/>
        </w:rPr>
        <w:t xml:space="preserve"> dated and signed by both parties.</w:t>
      </w:r>
    </w:p>
    <w:p w14:paraId="1F04D9BA" w14:textId="7F4B39CF" w:rsidR="00771B8C" w:rsidRPr="00C1039E" w:rsidRDefault="003E46DE" w:rsidP="00DE0DB9">
      <w:pPr>
        <w:spacing w:before="120"/>
        <w:jc w:val="both"/>
        <w:rPr>
          <w:lang w:val="en-US"/>
        </w:rPr>
      </w:pPr>
      <w:r w:rsidRPr="00C1039E">
        <w:rPr>
          <w:lang w:val="en-US"/>
        </w:rPr>
        <w:t xml:space="preserve">Sub-processor </w:t>
      </w:r>
      <w:r w:rsidR="00771B8C" w:rsidRPr="00C1039E">
        <w:rPr>
          <w:lang w:val="en-US"/>
        </w:rPr>
        <w:t>is liable for damages in accordance with Clause 1</w:t>
      </w:r>
      <w:r w:rsidRPr="00C1039E">
        <w:rPr>
          <w:lang w:val="en-US"/>
        </w:rPr>
        <w:t>3 for financial losses of the Data P</w:t>
      </w:r>
      <w:r w:rsidR="00771B8C" w:rsidRPr="00C1039E">
        <w:rPr>
          <w:lang w:val="en-US"/>
        </w:rPr>
        <w:t xml:space="preserve">rocessor due to </w:t>
      </w:r>
      <w:r w:rsidRPr="00C1039E">
        <w:rPr>
          <w:lang w:val="en-US"/>
        </w:rPr>
        <w:t>illegal</w:t>
      </w:r>
      <w:r w:rsidR="00771B8C" w:rsidRPr="00C1039E">
        <w:rPr>
          <w:lang w:val="en-US"/>
        </w:rPr>
        <w:t xml:space="preserve"> or unlawful processing of personal data or insufficient information security of subcontractors.</w:t>
      </w:r>
    </w:p>
    <w:p w14:paraId="47288E17" w14:textId="77777777" w:rsidR="0036260D" w:rsidRPr="00C1039E" w:rsidRDefault="0036260D" w:rsidP="00DE0DB9">
      <w:pPr>
        <w:spacing w:before="120"/>
        <w:jc w:val="both"/>
        <w:rPr>
          <w:lang w:val="en-US"/>
        </w:rPr>
      </w:pPr>
    </w:p>
    <w:p w14:paraId="1D6CDF54" w14:textId="6C1A35D6" w:rsidR="003E46DE" w:rsidRPr="00C1039E" w:rsidRDefault="00F2552D" w:rsidP="00DE0DB9">
      <w:pPr>
        <w:spacing w:before="120"/>
        <w:jc w:val="both"/>
        <w:rPr>
          <w:b/>
          <w:lang w:val="en-US"/>
        </w:rPr>
      </w:pPr>
      <w:r>
        <w:rPr>
          <w:b/>
          <w:lang w:val="en-US"/>
        </w:rPr>
        <w:t>10</w:t>
      </w:r>
      <w:r w:rsidR="0036260D" w:rsidRPr="00C1039E">
        <w:rPr>
          <w:b/>
          <w:lang w:val="en-US"/>
        </w:rPr>
        <w:t xml:space="preserve">. </w:t>
      </w:r>
      <w:r w:rsidR="003E46DE" w:rsidRPr="00C1039E">
        <w:rPr>
          <w:b/>
          <w:lang w:val="en-US"/>
        </w:rPr>
        <w:t>Transfer to countries outside the EU/EEA</w:t>
      </w:r>
    </w:p>
    <w:p w14:paraId="00E8944F" w14:textId="325E99EA" w:rsidR="0094028C" w:rsidRPr="00C1039E" w:rsidRDefault="003E46DE" w:rsidP="00DE0DB9">
      <w:pPr>
        <w:spacing w:before="120"/>
        <w:jc w:val="both"/>
        <w:rPr>
          <w:bCs/>
          <w:iCs/>
          <w:lang w:val="en-US"/>
        </w:rPr>
      </w:pPr>
      <w:r w:rsidRPr="00C1039E">
        <w:rPr>
          <w:bCs/>
          <w:iCs/>
          <w:lang w:val="en-US"/>
        </w:rPr>
        <w:t xml:space="preserve">Personal data processed by a sub-processor on behalf of a data processor may be transferred to countries outside the EU / EEA (third countries). Such transfer may occur under certain conditions. The rules on transfer to third countries can be found in Articles 45-47 and 49 of the EU's Privacy Regulation. The rules also apply to backup and other transfer of personal data that occurs in connection with the administration of the service in question, such as support. These rules mean, among other things, that the transfer will be legal if it happens to an EU-approved third country, </w:t>
      </w:r>
      <w:r w:rsidR="0094028C" w:rsidRPr="00C1039E">
        <w:rPr>
          <w:bCs/>
          <w:iCs/>
          <w:lang w:val="en-US"/>
        </w:rPr>
        <w:t>and in the individual States within</w:t>
      </w:r>
      <w:r w:rsidRPr="00C1039E">
        <w:rPr>
          <w:bCs/>
          <w:iCs/>
          <w:lang w:val="en-US"/>
        </w:rPr>
        <w:t xml:space="preserve"> the United States that have </w:t>
      </w:r>
      <w:r w:rsidR="0094028C" w:rsidRPr="00C1039E">
        <w:rPr>
          <w:bCs/>
          <w:iCs/>
          <w:lang w:val="en-US"/>
        </w:rPr>
        <w:t xml:space="preserve">been granted the </w:t>
      </w:r>
      <w:r w:rsidR="0094028C" w:rsidRPr="00C1039E">
        <w:rPr>
          <w:bCs/>
          <w:iCs/>
          <w:lang w:val="en-US"/>
        </w:rPr>
        <w:lastRenderedPageBreak/>
        <w:t xml:space="preserve">‘Adequacy Decision’ </w:t>
      </w:r>
      <w:r w:rsidRPr="00C1039E">
        <w:rPr>
          <w:bCs/>
          <w:iCs/>
          <w:lang w:val="en-US"/>
        </w:rPr>
        <w:t xml:space="preserve">for the type of information provided in that particular company's affiliation, or on the basis of EU standard contracts for the transfer of personal data to third-country data processors (EU's "Standard Contractual Clauses"). </w:t>
      </w:r>
    </w:p>
    <w:p w14:paraId="708CF9DC" w14:textId="77777777" w:rsidR="003E46DE" w:rsidRPr="00C1039E" w:rsidRDefault="003E46DE" w:rsidP="00F2552D">
      <w:pPr>
        <w:spacing w:before="120"/>
        <w:jc w:val="both"/>
        <w:rPr>
          <w:bCs/>
          <w:i/>
          <w:color w:val="1F497D" w:themeColor="text2"/>
          <w:lang w:val="en-US"/>
        </w:rPr>
      </w:pPr>
    </w:p>
    <w:p w14:paraId="7132C6C1" w14:textId="2A9F48DE" w:rsidR="003E46DE" w:rsidRPr="00C1039E" w:rsidRDefault="00232571" w:rsidP="00DE0DB9">
      <w:pPr>
        <w:pStyle w:val="Heading2"/>
        <w:spacing w:before="120"/>
        <w:jc w:val="both"/>
        <w:rPr>
          <w:rFonts w:ascii="Times New Roman" w:hAnsi="Times New Roman"/>
          <w:sz w:val="24"/>
          <w:szCs w:val="24"/>
          <w:lang w:val="en-US"/>
        </w:rPr>
      </w:pPr>
      <w:bookmarkStart w:id="3" w:name="_Toc231181838"/>
      <w:r w:rsidRPr="00C1039E">
        <w:rPr>
          <w:rFonts w:ascii="Times New Roman" w:hAnsi="Times New Roman"/>
          <w:sz w:val="24"/>
          <w:szCs w:val="24"/>
          <w:lang w:val="en-US"/>
        </w:rPr>
        <w:t>1</w:t>
      </w:r>
      <w:r w:rsidR="00F2552D">
        <w:rPr>
          <w:rFonts w:ascii="Times New Roman" w:hAnsi="Times New Roman"/>
          <w:sz w:val="24"/>
          <w:szCs w:val="24"/>
          <w:lang w:val="en-US"/>
        </w:rPr>
        <w:t>1</w:t>
      </w:r>
      <w:r w:rsidR="00F7557B" w:rsidRPr="00C1039E">
        <w:rPr>
          <w:rFonts w:ascii="Times New Roman" w:hAnsi="Times New Roman"/>
          <w:sz w:val="24"/>
          <w:szCs w:val="24"/>
          <w:lang w:val="en-US"/>
        </w:rPr>
        <w:t xml:space="preserve">. </w:t>
      </w:r>
      <w:bookmarkEnd w:id="3"/>
      <w:r w:rsidR="003E46DE" w:rsidRPr="00C1039E">
        <w:rPr>
          <w:rFonts w:ascii="Times New Roman" w:hAnsi="Times New Roman"/>
          <w:sz w:val="24"/>
          <w:szCs w:val="24"/>
          <w:lang w:val="en-US"/>
        </w:rPr>
        <w:t>Security audits and impact assessments</w:t>
      </w:r>
    </w:p>
    <w:p w14:paraId="5A403C10" w14:textId="6A650C83" w:rsidR="003E46DE" w:rsidRPr="00C1039E" w:rsidRDefault="003E46DE" w:rsidP="00DE0DB9">
      <w:pPr>
        <w:spacing w:before="120"/>
        <w:jc w:val="both"/>
        <w:rPr>
          <w:lang w:val="en-US"/>
        </w:rPr>
      </w:pPr>
      <w:r w:rsidRPr="00C1039E">
        <w:rPr>
          <w:lang w:val="en-US"/>
        </w:rPr>
        <w:t xml:space="preserve">Sub-processors shall regularly carry out security audits of their own work to secure personal data against </w:t>
      </w:r>
      <w:proofErr w:type="spellStart"/>
      <w:r w:rsidR="00FB42FF">
        <w:rPr>
          <w:lang w:val="en-US"/>
        </w:rPr>
        <w:t>unauthorised</w:t>
      </w:r>
      <w:proofErr w:type="spellEnd"/>
      <w:r w:rsidRPr="00C1039E">
        <w:rPr>
          <w:lang w:val="en-US"/>
        </w:rPr>
        <w:t xml:space="preserve"> or illegal access, alteration, deletion, damage, </w:t>
      </w:r>
      <w:proofErr w:type="gramStart"/>
      <w:r w:rsidRPr="00C1039E">
        <w:rPr>
          <w:lang w:val="en-US"/>
        </w:rPr>
        <w:t>loss</w:t>
      </w:r>
      <w:proofErr w:type="gramEnd"/>
      <w:r w:rsidRPr="00C1039E">
        <w:rPr>
          <w:lang w:val="en-US"/>
        </w:rPr>
        <w:t xml:space="preserve"> or unavailability.</w:t>
      </w:r>
    </w:p>
    <w:p w14:paraId="79B633C2" w14:textId="554420F9" w:rsidR="003E46DE" w:rsidRPr="00C1039E" w:rsidRDefault="003E46DE" w:rsidP="00DE0DB9">
      <w:pPr>
        <w:spacing w:before="120"/>
        <w:jc w:val="both"/>
        <w:rPr>
          <w:lang w:val="en-US"/>
        </w:rPr>
      </w:pPr>
      <w:r w:rsidRPr="00C1039E">
        <w:rPr>
          <w:lang w:val="en-US"/>
        </w:rPr>
        <w:t xml:space="preserve">Sub-processors will conduct security audits of the information security in the business. Security audits shall include the Sub-processor's security objectives and security strategy, security organization, </w:t>
      </w:r>
      <w:proofErr w:type="gramStart"/>
      <w:r w:rsidRPr="00C1039E">
        <w:rPr>
          <w:lang w:val="en-US"/>
        </w:rPr>
        <w:t>guidelines</w:t>
      </w:r>
      <w:proofErr w:type="gramEnd"/>
      <w:r w:rsidRPr="00C1039E">
        <w:rPr>
          <w:lang w:val="en-US"/>
        </w:rPr>
        <w:t xml:space="preserve"> and procedures for security work, established technical, physical and </w:t>
      </w:r>
      <w:proofErr w:type="spellStart"/>
      <w:r w:rsidR="00FB42FF">
        <w:rPr>
          <w:lang w:val="en-US"/>
        </w:rPr>
        <w:t>organisational</w:t>
      </w:r>
      <w:proofErr w:type="spellEnd"/>
      <w:r w:rsidR="00FB42FF">
        <w:rPr>
          <w:lang w:val="en-US"/>
        </w:rPr>
        <w:t xml:space="preserve"> </w:t>
      </w:r>
      <w:r w:rsidRPr="00C1039E">
        <w:rPr>
          <w:lang w:val="en-US"/>
        </w:rPr>
        <w:t>security measures and work on information security with subcontractors. It shall also include procedures for alerting Data Processor in case of security breaches and routines for testing contingency and continuity plans.</w:t>
      </w:r>
    </w:p>
    <w:p w14:paraId="2580DC43" w14:textId="6D8841A3" w:rsidR="003E46DE" w:rsidRPr="00C1039E" w:rsidRDefault="003E46DE" w:rsidP="00DE0DB9">
      <w:pPr>
        <w:spacing w:before="120"/>
        <w:jc w:val="both"/>
        <w:rPr>
          <w:lang w:val="en-US"/>
        </w:rPr>
      </w:pPr>
      <w:r w:rsidRPr="00C1039E">
        <w:rPr>
          <w:lang w:val="en-US"/>
        </w:rPr>
        <w:t xml:space="preserve">Sub-processors must document the security audits. The Data Processor shall be given access to the audit reports. The Data Processor can provide the Data Controller with access to the documentation so that the Data Controller can fulfill his/her duties under the current </w:t>
      </w:r>
      <w:r w:rsidR="00872126">
        <w:rPr>
          <w:lang w:val="en-US"/>
        </w:rPr>
        <w:t>Maltese</w:t>
      </w:r>
      <w:r w:rsidRPr="00C1039E">
        <w:rPr>
          <w:lang w:val="en-US"/>
        </w:rPr>
        <w:t xml:space="preserve"> personal data legislation.</w:t>
      </w:r>
    </w:p>
    <w:p w14:paraId="58C4FA79" w14:textId="1D70F5E5" w:rsidR="003E46DE" w:rsidRPr="00C1039E" w:rsidRDefault="003E46DE" w:rsidP="00DE0DB9">
      <w:pPr>
        <w:spacing w:before="120"/>
        <w:jc w:val="both"/>
        <w:rPr>
          <w:lang w:val="en-US"/>
        </w:rPr>
      </w:pPr>
      <w:r w:rsidRPr="00C1039E">
        <w:rPr>
          <w:lang w:val="en-US"/>
        </w:rPr>
        <w:t xml:space="preserve">If an independent third party conducts security audits at the Sub-processor, the Data Processor shall be informed of which auditor is used and have access to summaries of the audit reports. The Data Processor can provide the Data Controller with access to summaries of the audit reports </w:t>
      </w:r>
      <w:proofErr w:type="gramStart"/>
      <w:r w:rsidRPr="00C1039E">
        <w:rPr>
          <w:lang w:val="en-US"/>
        </w:rPr>
        <w:t>in order for</w:t>
      </w:r>
      <w:proofErr w:type="gramEnd"/>
      <w:r w:rsidRPr="00C1039E">
        <w:rPr>
          <w:lang w:val="en-US"/>
        </w:rPr>
        <w:t xml:space="preserve"> the Data Controller to fulfill his/her duties according to current </w:t>
      </w:r>
      <w:r w:rsidR="00872126">
        <w:rPr>
          <w:lang w:val="en-US"/>
        </w:rPr>
        <w:t>Maltese</w:t>
      </w:r>
      <w:r w:rsidRPr="00C1039E">
        <w:rPr>
          <w:lang w:val="en-US"/>
        </w:rPr>
        <w:t xml:space="preserve"> personal data legislation.</w:t>
      </w:r>
    </w:p>
    <w:p w14:paraId="269AD3B1" w14:textId="324C9C01" w:rsidR="003E46DE" w:rsidRPr="00C1039E" w:rsidRDefault="005C5A67" w:rsidP="00D91A87">
      <w:pPr>
        <w:spacing w:before="120"/>
        <w:jc w:val="both"/>
        <w:rPr>
          <w:lang w:val="en-US"/>
        </w:rPr>
      </w:pPr>
      <w:r w:rsidRPr="00C1039E">
        <w:rPr>
          <w:lang w:val="en-US"/>
        </w:rPr>
        <w:t>Sub-processors shall, at the request of the Data Processor, assist the Data P</w:t>
      </w:r>
      <w:r w:rsidR="003E46DE" w:rsidRPr="00C1039E">
        <w:rPr>
          <w:lang w:val="en-US"/>
        </w:rPr>
        <w:t xml:space="preserve">rocessor if the use of the service means that the </w:t>
      </w:r>
      <w:r w:rsidRPr="00C1039E">
        <w:rPr>
          <w:lang w:val="en-US"/>
        </w:rPr>
        <w:t>Data C</w:t>
      </w:r>
      <w:r w:rsidR="003E46DE" w:rsidRPr="00C1039E">
        <w:rPr>
          <w:lang w:val="en-US"/>
        </w:rPr>
        <w:t xml:space="preserve">ontroller has an obligation to assess the consequences of privacy, cf. Regulation (EU) 2016/679, Articles 35 and 36. </w:t>
      </w:r>
      <w:r w:rsidRPr="00C1039E">
        <w:rPr>
          <w:lang w:val="en-US"/>
        </w:rPr>
        <w:t>Sub-processor can assist in the implementation of privacy-promoting measures if the impact assessment shows that this is necessary.</w:t>
      </w:r>
    </w:p>
    <w:p w14:paraId="58D77A31" w14:textId="77777777" w:rsidR="003E46DE" w:rsidRPr="00C1039E" w:rsidRDefault="003E46DE">
      <w:pPr>
        <w:spacing w:before="120"/>
        <w:rPr>
          <w:lang w:val="en-US"/>
        </w:rPr>
      </w:pPr>
    </w:p>
    <w:p w14:paraId="40E51EFE" w14:textId="19302ABC" w:rsidR="007C064C" w:rsidRPr="00C1039E" w:rsidRDefault="00232AC4" w:rsidP="007C064C">
      <w:pPr>
        <w:pStyle w:val="Heading2"/>
        <w:spacing w:before="120"/>
        <w:rPr>
          <w:rFonts w:ascii="Times New Roman" w:hAnsi="Times New Roman"/>
          <w:sz w:val="24"/>
          <w:szCs w:val="24"/>
        </w:rPr>
      </w:pPr>
      <w:bookmarkStart w:id="4" w:name="_Toc231181840"/>
      <w:bookmarkStart w:id="5" w:name="_Toc231181839"/>
      <w:r w:rsidRPr="00C1039E">
        <w:rPr>
          <w:rFonts w:ascii="Times New Roman" w:hAnsi="Times New Roman"/>
          <w:sz w:val="24"/>
          <w:szCs w:val="24"/>
        </w:rPr>
        <w:t>1</w:t>
      </w:r>
      <w:r w:rsidR="00F2552D">
        <w:rPr>
          <w:rFonts w:ascii="Times New Roman" w:hAnsi="Times New Roman"/>
          <w:sz w:val="24"/>
          <w:szCs w:val="24"/>
        </w:rPr>
        <w:t>2</w:t>
      </w:r>
      <w:r w:rsidR="007C064C" w:rsidRPr="00C1039E">
        <w:rPr>
          <w:rFonts w:ascii="Times New Roman" w:hAnsi="Times New Roman"/>
          <w:sz w:val="24"/>
          <w:szCs w:val="24"/>
        </w:rPr>
        <w:t xml:space="preserve">. </w:t>
      </w:r>
      <w:bookmarkEnd w:id="4"/>
      <w:r w:rsidR="005C5A67" w:rsidRPr="00C1039E">
        <w:rPr>
          <w:rFonts w:ascii="Times New Roman" w:hAnsi="Times New Roman"/>
          <w:sz w:val="24"/>
          <w:szCs w:val="24"/>
        </w:rPr>
        <w:t>Return and deletion</w:t>
      </w:r>
    </w:p>
    <w:p w14:paraId="1F9F3475" w14:textId="6A130392" w:rsidR="005C5A67" w:rsidRPr="00C1039E" w:rsidRDefault="005C5A67" w:rsidP="00D91A87">
      <w:pPr>
        <w:spacing w:before="120"/>
        <w:jc w:val="both"/>
        <w:rPr>
          <w:lang w:val="en-US"/>
        </w:rPr>
      </w:pPr>
      <w:r w:rsidRPr="00C1039E">
        <w:rPr>
          <w:lang w:val="en-US"/>
        </w:rPr>
        <w:t>Upon termination of this Agreement, the Sub-processor is obliged to delete and/or return all personal data processed by the Sub-processor on behalf of the Data Processor in connection with the Main Agreement. The Data Processor decides how the return of personal data should take place, including the format to be used.</w:t>
      </w:r>
    </w:p>
    <w:p w14:paraId="39AC35C9" w14:textId="566BA833" w:rsidR="005C5A67" w:rsidRPr="00C1039E" w:rsidRDefault="005C5A67" w:rsidP="00D91A87">
      <w:pPr>
        <w:spacing w:before="120"/>
        <w:jc w:val="both"/>
        <w:rPr>
          <w:lang w:val="en-US"/>
        </w:rPr>
      </w:pPr>
      <w:r w:rsidRPr="00C1039E">
        <w:rPr>
          <w:lang w:val="en-US"/>
        </w:rPr>
        <w:t>Sub-processors shall delete personal data from all storage media containing personal data processed by the Sub-processor on behalf of the Data Processor. Deletion must occur by sub-processor using a deletion tool approved by the Data Processor or by overwriting. This also applies to backups of personal data.</w:t>
      </w:r>
    </w:p>
    <w:p w14:paraId="1E982C39" w14:textId="3EE36E77" w:rsidR="005C5A67" w:rsidRDefault="005C5A67" w:rsidP="00D91A87">
      <w:pPr>
        <w:spacing w:before="120"/>
        <w:jc w:val="both"/>
        <w:rPr>
          <w:lang w:val="en-US"/>
        </w:rPr>
      </w:pPr>
      <w:r w:rsidRPr="00C1039E">
        <w:rPr>
          <w:lang w:val="en-US"/>
        </w:rPr>
        <w:t>Sub-processors shall document that deletion of personal data has been carried out in accordance with this Agreement. The documentation shall be made available to the Data Processor. The Data Processor can provide the Data Controller with access to the documentation so that the Data Controller can fulfill his/her duties under the data</w:t>
      </w:r>
      <w:r w:rsidR="00BA35EC" w:rsidRPr="00C1039E">
        <w:rPr>
          <w:lang w:val="en-US"/>
        </w:rPr>
        <w:t xml:space="preserve"> protection</w:t>
      </w:r>
      <w:r w:rsidRPr="00C1039E">
        <w:rPr>
          <w:lang w:val="en-US"/>
        </w:rPr>
        <w:t xml:space="preserve"> legislation</w:t>
      </w:r>
      <w:r w:rsidR="00BA35EC" w:rsidRPr="00C1039E">
        <w:rPr>
          <w:lang w:val="en-US"/>
        </w:rPr>
        <w:t xml:space="preserve"> and regimes</w:t>
      </w:r>
      <w:r w:rsidRPr="00C1039E">
        <w:rPr>
          <w:lang w:val="en-US"/>
        </w:rPr>
        <w:t>.</w:t>
      </w:r>
    </w:p>
    <w:p w14:paraId="3611A4FF" w14:textId="5DF39557" w:rsidR="009C3B8F" w:rsidRDefault="009C3B8F" w:rsidP="00D91A87">
      <w:pPr>
        <w:spacing w:before="120"/>
        <w:jc w:val="both"/>
        <w:rPr>
          <w:lang w:val="en-US"/>
        </w:rPr>
      </w:pPr>
    </w:p>
    <w:p w14:paraId="5228D1FD" w14:textId="77777777" w:rsidR="009C3B8F" w:rsidRPr="0095529F" w:rsidRDefault="009C3B8F" w:rsidP="009C3B8F">
      <w:pPr>
        <w:spacing w:after="240"/>
        <w:jc w:val="both"/>
        <w:rPr>
          <w:rFonts w:cs="Arial"/>
        </w:rPr>
      </w:pPr>
      <w:bookmarkStart w:id="6" w:name="a487367"/>
      <w:r w:rsidRPr="0095529F">
        <w:rPr>
          <w:rFonts w:cs="Arial"/>
        </w:rPr>
        <w:t xml:space="preserve">On any termination of </w:t>
      </w:r>
      <w:r w:rsidRPr="00536491">
        <w:rPr>
          <w:rFonts w:cs="Arial"/>
        </w:rPr>
        <w:t>th</w:t>
      </w:r>
      <w:r w:rsidRPr="00536491">
        <w:rPr>
          <w:rFonts w:cs="Arial"/>
          <w:lang w:val="mt-MT"/>
        </w:rPr>
        <w:t xml:space="preserve">e </w:t>
      </w:r>
      <w:r w:rsidRPr="00536491">
        <w:rPr>
          <w:rFonts w:cs="Arial"/>
          <w:b/>
          <w:bCs/>
          <w:lang w:val="mt-MT"/>
        </w:rPr>
        <w:t>main</w:t>
      </w:r>
      <w:r w:rsidRPr="00536491">
        <w:rPr>
          <w:rFonts w:cs="Arial"/>
          <w:b/>
          <w:bCs/>
        </w:rPr>
        <w:t xml:space="preserve"> Contract</w:t>
      </w:r>
      <w:r w:rsidRPr="00536491">
        <w:rPr>
          <w:rFonts w:cs="Arial"/>
        </w:rPr>
        <w:t xml:space="preserve"> for</w:t>
      </w:r>
      <w:r w:rsidRPr="0095529F">
        <w:rPr>
          <w:rFonts w:cs="Arial"/>
        </w:rPr>
        <w:t xml:space="preserve"> any reason or expiry of the Term:</w:t>
      </w:r>
      <w:bookmarkEnd w:id="6"/>
    </w:p>
    <w:p w14:paraId="030CBC38" w14:textId="7BD198B6" w:rsidR="009C3B8F" w:rsidRPr="0095529F" w:rsidRDefault="009C3B8F" w:rsidP="009C3B8F">
      <w:pPr>
        <w:spacing w:after="240"/>
        <w:ind w:left="720"/>
        <w:jc w:val="both"/>
        <w:rPr>
          <w:rFonts w:cs="Arial"/>
        </w:rPr>
      </w:pPr>
      <w:bookmarkStart w:id="7" w:name="a790616"/>
      <w:r w:rsidRPr="0095529F">
        <w:rPr>
          <w:rFonts w:cs="Arial"/>
        </w:rPr>
        <w:lastRenderedPageBreak/>
        <w:t xml:space="preserve">(a ) the </w:t>
      </w:r>
      <w:r>
        <w:rPr>
          <w:rFonts w:cs="Arial"/>
        </w:rPr>
        <w:t>Sub- p</w:t>
      </w:r>
      <w:r w:rsidRPr="0095529F">
        <w:rPr>
          <w:rFonts w:cs="Arial"/>
        </w:rPr>
        <w:t>rocessor shall as soon as reasonably practicable return (as directed in writing by Data Controller</w:t>
      </w:r>
      <w:r>
        <w:rPr>
          <w:rFonts w:cs="Arial"/>
        </w:rPr>
        <w:t xml:space="preserve"> or Data Processor</w:t>
      </w:r>
      <w:r w:rsidRPr="0095529F">
        <w:rPr>
          <w:rFonts w:cs="Arial"/>
        </w:rPr>
        <w:t>)</w:t>
      </w:r>
      <w:r>
        <w:rPr>
          <w:rFonts w:cs="Arial"/>
        </w:rPr>
        <w:t xml:space="preserve"> </w:t>
      </w:r>
      <w:r w:rsidRPr="0095529F">
        <w:rPr>
          <w:rFonts w:cs="Arial"/>
        </w:rPr>
        <w:t>all Personal Data</w:t>
      </w:r>
      <w:bookmarkStart w:id="8" w:name="a397178"/>
      <w:bookmarkEnd w:id="7"/>
      <w:r w:rsidRPr="0095529F">
        <w:rPr>
          <w:rFonts w:cs="Arial"/>
        </w:rPr>
        <w:t xml:space="preserve">. The </w:t>
      </w:r>
      <w:r>
        <w:rPr>
          <w:rFonts w:cs="Arial"/>
        </w:rPr>
        <w:t>Sub-</w:t>
      </w:r>
      <w:r w:rsidRPr="0095529F">
        <w:rPr>
          <w:rFonts w:cs="Arial"/>
        </w:rPr>
        <w:t xml:space="preserve">Processor shall use reasonable commercial efforts to fulfil such request within ten working days (10) days of its receipt; or </w:t>
      </w:r>
    </w:p>
    <w:p w14:paraId="1A9D53A3" w14:textId="3AE7C8DB" w:rsidR="009C3B8F" w:rsidRPr="0095529F" w:rsidRDefault="009C3B8F" w:rsidP="009C3B8F">
      <w:pPr>
        <w:spacing w:after="240"/>
        <w:ind w:left="720"/>
        <w:jc w:val="both"/>
        <w:rPr>
          <w:rFonts w:cs="Arial"/>
        </w:rPr>
      </w:pPr>
      <w:r w:rsidRPr="0095529F">
        <w:rPr>
          <w:rFonts w:cs="Arial"/>
        </w:rPr>
        <w:t xml:space="preserve">( b) if the Data Controller elects for destruction rather than return of the materials the </w:t>
      </w:r>
      <w:r>
        <w:rPr>
          <w:rFonts w:cs="Arial"/>
        </w:rPr>
        <w:t>Sub-p</w:t>
      </w:r>
      <w:r w:rsidRPr="0095529F">
        <w:rPr>
          <w:rFonts w:cs="Arial"/>
        </w:rPr>
        <w:t>rocessor shall ensure that all Personal Data is immediately deleted from the Data Processor System</w:t>
      </w:r>
      <w:bookmarkEnd w:id="8"/>
      <w:r w:rsidRPr="0095529F">
        <w:rPr>
          <w:rFonts w:cs="Arial"/>
        </w:rPr>
        <w:t>.</w:t>
      </w:r>
    </w:p>
    <w:p w14:paraId="35B9CC3E" w14:textId="4EFC833F" w:rsidR="005C5A67" w:rsidRPr="00C1039E" w:rsidRDefault="009C3B8F" w:rsidP="00536491">
      <w:pPr>
        <w:spacing w:after="240"/>
        <w:jc w:val="both"/>
        <w:rPr>
          <w:lang w:val="en-US"/>
        </w:rPr>
      </w:pPr>
      <w:r w:rsidRPr="0095529F">
        <w:rPr>
          <w:rFonts w:cs="Arial"/>
        </w:rPr>
        <w:t xml:space="preserve">The </w:t>
      </w:r>
      <w:r>
        <w:rPr>
          <w:rFonts w:cs="Arial"/>
        </w:rPr>
        <w:t>Sub-p</w:t>
      </w:r>
      <w:r w:rsidRPr="0095529F">
        <w:rPr>
          <w:rFonts w:cs="Arial"/>
        </w:rPr>
        <w:t xml:space="preserve">rocessor shall provide written confirmation (in the form of a signed letter) no later than fourteen (14) days after termination or expiry of </w:t>
      </w:r>
      <w:r w:rsidRPr="00536491">
        <w:rPr>
          <w:rFonts w:cs="Arial"/>
        </w:rPr>
        <w:t>the Contract</w:t>
      </w:r>
      <w:r w:rsidR="00872126">
        <w:rPr>
          <w:rFonts w:cs="Arial"/>
        </w:rPr>
        <w:t>.</w:t>
      </w:r>
    </w:p>
    <w:p w14:paraId="76D76B07" w14:textId="35DC5B82" w:rsidR="005C5A67" w:rsidRPr="00C1039E" w:rsidRDefault="00232AC4" w:rsidP="005C5A67">
      <w:pPr>
        <w:spacing w:before="120"/>
        <w:rPr>
          <w:b/>
        </w:rPr>
      </w:pPr>
      <w:r w:rsidRPr="00C1039E">
        <w:rPr>
          <w:b/>
        </w:rPr>
        <w:t>1</w:t>
      </w:r>
      <w:r w:rsidR="00F2552D">
        <w:rPr>
          <w:b/>
        </w:rPr>
        <w:t>3</w:t>
      </w:r>
      <w:r w:rsidR="00651A32" w:rsidRPr="00C1039E">
        <w:rPr>
          <w:b/>
        </w:rPr>
        <w:t xml:space="preserve">. </w:t>
      </w:r>
      <w:r w:rsidR="005C5A67" w:rsidRPr="00C1039E">
        <w:rPr>
          <w:b/>
        </w:rPr>
        <w:t>Breach</w:t>
      </w:r>
    </w:p>
    <w:p w14:paraId="47F412CD" w14:textId="5A1ED2B0" w:rsidR="005C5A67" w:rsidRPr="00C1039E" w:rsidRDefault="005C5A67" w:rsidP="00D91A87">
      <w:pPr>
        <w:spacing w:before="120"/>
        <w:jc w:val="both"/>
        <w:rPr>
          <w:lang w:val="en-US"/>
        </w:rPr>
      </w:pPr>
      <w:r w:rsidRPr="00C1039E">
        <w:rPr>
          <w:lang w:val="en-US"/>
        </w:rPr>
        <w:t>In the event of any material breach of the terms of this Agreement due to errors or negligence on the part of the Sub-processor, the Data Processor may terminate the Agreement with immediate effect. Sub-processors will continue to be obliged to return and/or delete personal data processed on behalf of the Data Processor in accordance with the provisions of clause11 above.</w:t>
      </w:r>
    </w:p>
    <w:p w14:paraId="2AEBA290" w14:textId="77777777" w:rsidR="00686FBF" w:rsidRPr="00C1039E" w:rsidRDefault="00686FBF" w:rsidP="00651A32">
      <w:pPr>
        <w:spacing w:before="120"/>
        <w:rPr>
          <w:lang w:val="en-US"/>
        </w:rPr>
      </w:pPr>
    </w:p>
    <w:p w14:paraId="293A6228" w14:textId="5424CCF7" w:rsidR="005820D1" w:rsidRPr="00C1039E" w:rsidRDefault="005820D1" w:rsidP="00651A32">
      <w:pPr>
        <w:spacing w:before="120"/>
        <w:rPr>
          <w:b/>
        </w:rPr>
      </w:pPr>
      <w:r w:rsidRPr="00C1039E">
        <w:rPr>
          <w:b/>
        </w:rPr>
        <w:t>1</w:t>
      </w:r>
      <w:r w:rsidR="00F2552D">
        <w:rPr>
          <w:b/>
        </w:rPr>
        <w:t>4</w:t>
      </w:r>
      <w:r w:rsidRPr="00C1039E">
        <w:rPr>
          <w:b/>
        </w:rPr>
        <w:t xml:space="preserve">. </w:t>
      </w:r>
      <w:r w:rsidR="001B43F3" w:rsidRPr="00C1039E">
        <w:rPr>
          <w:b/>
        </w:rPr>
        <w:t>Compensation</w:t>
      </w:r>
    </w:p>
    <w:p w14:paraId="47AE167C" w14:textId="7CA16C95" w:rsidR="005C5A67" w:rsidRPr="00C1039E" w:rsidRDefault="005C5A67" w:rsidP="005820D1"/>
    <w:p w14:paraId="6B5F71B6" w14:textId="056A816A" w:rsidR="005C5A67" w:rsidRPr="00C1039E" w:rsidRDefault="001B43F3" w:rsidP="00D91A87">
      <w:pPr>
        <w:jc w:val="both"/>
        <w:rPr>
          <w:lang w:val="en-US"/>
        </w:rPr>
      </w:pPr>
      <w:r w:rsidRPr="00C1039E">
        <w:rPr>
          <w:lang w:val="en-US"/>
        </w:rPr>
        <w:t>The Data P</w:t>
      </w:r>
      <w:r w:rsidR="005C5A67" w:rsidRPr="00C1039E">
        <w:rPr>
          <w:lang w:val="en-US"/>
        </w:rPr>
        <w:t xml:space="preserve">rocessor may claim compensation for financial losses that errors or </w:t>
      </w:r>
      <w:r w:rsidRPr="00C1039E">
        <w:rPr>
          <w:lang w:val="en-US"/>
        </w:rPr>
        <w:t>neglect on the part of the Sub-</w:t>
      </w:r>
      <w:r w:rsidR="005C5A67" w:rsidRPr="00C1039E">
        <w:rPr>
          <w:lang w:val="en-US"/>
        </w:rPr>
        <w:t>processor, including breach of the terms of t</w:t>
      </w:r>
      <w:r w:rsidRPr="00C1039E">
        <w:rPr>
          <w:lang w:val="en-US"/>
        </w:rPr>
        <w:t>his agreement, have caused the Data P</w:t>
      </w:r>
      <w:r w:rsidR="005C5A67" w:rsidRPr="00C1039E">
        <w:rPr>
          <w:lang w:val="en-US"/>
        </w:rPr>
        <w:t>rocessor, cf. also paragraphs 3 and 8 above.</w:t>
      </w:r>
    </w:p>
    <w:p w14:paraId="479A4109" w14:textId="77777777" w:rsidR="005C5A67" w:rsidRPr="00C1039E" w:rsidRDefault="005C5A67" w:rsidP="00D91A87">
      <w:pPr>
        <w:jc w:val="both"/>
        <w:rPr>
          <w:lang w:val="en-US"/>
        </w:rPr>
      </w:pPr>
    </w:p>
    <w:p w14:paraId="1A1F6151" w14:textId="55CDE55A" w:rsidR="007C064C" w:rsidRPr="00C1039E" w:rsidRDefault="005C5A67" w:rsidP="00D91A87">
      <w:pPr>
        <w:jc w:val="both"/>
        <w:rPr>
          <w:lang w:val="en-US"/>
        </w:rPr>
      </w:pPr>
      <w:r w:rsidRPr="00C1039E">
        <w:rPr>
          <w:lang w:val="en-US"/>
        </w:rPr>
        <w:t>Sub-processor is liable for direct financial loss, including administrative infringement fees and cl</w:t>
      </w:r>
      <w:r w:rsidR="001B43F3" w:rsidRPr="00C1039E">
        <w:rPr>
          <w:lang w:val="en-US"/>
        </w:rPr>
        <w:t>aims that are addressed to the Data P</w:t>
      </w:r>
      <w:r w:rsidRPr="00C1039E">
        <w:rPr>
          <w:lang w:val="en-US"/>
        </w:rPr>
        <w:t>rocessor, which can b</w:t>
      </w:r>
      <w:r w:rsidR="001B43F3" w:rsidRPr="00C1039E">
        <w:rPr>
          <w:lang w:val="en-US"/>
        </w:rPr>
        <w:t>e reversed in violation of the S</w:t>
      </w:r>
      <w:r w:rsidRPr="00C1039E">
        <w:rPr>
          <w:lang w:val="en-US"/>
        </w:rPr>
        <w:t>ub-processor's obligations under this agreement.</w:t>
      </w:r>
    </w:p>
    <w:p w14:paraId="56E49ADD" w14:textId="77777777" w:rsidR="00CB317E" w:rsidRPr="00C1039E" w:rsidRDefault="00CB317E" w:rsidP="00CB317E">
      <w:pPr>
        <w:rPr>
          <w:lang w:val="en-US"/>
        </w:rPr>
      </w:pPr>
    </w:p>
    <w:p w14:paraId="7EA21DAB" w14:textId="51A5522F" w:rsidR="005A3848" w:rsidRPr="00C1039E" w:rsidRDefault="007C064C">
      <w:pPr>
        <w:pStyle w:val="Heading2"/>
        <w:spacing w:before="120"/>
        <w:rPr>
          <w:rFonts w:ascii="Times New Roman" w:hAnsi="Times New Roman"/>
          <w:sz w:val="24"/>
          <w:szCs w:val="24"/>
          <w:lang w:val="en-US"/>
        </w:rPr>
      </w:pPr>
      <w:r w:rsidRPr="00C1039E">
        <w:rPr>
          <w:rFonts w:ascii="Times New Roman" w:hAnsi="Times New Roman"/>
          <w:sz w:val="24"/>
          <w:szCs w:val="24"/>
          <w:lang w:val="en-US"/>
        </w:rPr>
        <w:t>1</w:t>
      </w:r>
      <w:r w:rsidR="00F2552D">
        <w:rPr>
          <w:rFonts w:ascii="Times New Roman" w:hAnsi="Times New Roman"/>
          <w:sz w:val="24"/>
          <w:szCs w:val="24"/>
          <w:lang w:val="en-US"/>
        </w:rPr>
        <w:t>5</w:t>
      </w:r>
      <w:r w:rsidR="00F7557B" w:rsidRPr="00C1039E">
        <w:rPr>
          <w:rFonts w:ascii="Times New Roman" w:hAnsi="Times New Roman"/>
          <w:sz w:val="24"/>
          <w:szCs w:val="24"/>
          <w:lang w:val="en-US"/>
        </w:rPr>
        <w:t xml:space="preserve">. </w:t>
      </w:r>
      <w:bookmarkEnd w:id="5"/>
      <w:r w:rsidR="001B43F3" w:rsidRPr="00C1039E">
        <w:rPr>
          <w:rFonts w:ascii="Times New Roman" w:hAnsi="Times New Roman"/>
          <w:sz w:val="24"/>
          <w:szCs w:val="24"/>
          <w:lang w:val="en-US"/>
        </w:rPr>
        <w:t xml:space="preserve">The </w:t>
      </w:r>
      <w:r w:rsidR="00D91A87">
        <w:rPr>
          <w:rFonts w:ascii="Times New Roman" w:hAnsi="Times New Roman"/>
          <w:sz w:val="24"/>
          <w:szCs w:val="24"/>
          <w:lang w:val="en-US"/>
        </w:rPr>
        <w:t xml:space="preserve">Data Protection </w:t>
      </w:r>
      <w:r w:rsidR="001B43F3" w:rsidRPr="00C1039E">
        <w:rPr>
          <w:rFonts w:ascii="Times New Roman" w:hAnsi="Times New Roman"/>
          <w:sz w:val="24"/>
          <w:szCs w:val="24"/>
          <w:lang w:val="en-US"/>
        </w:rPr>
        <w:t>Agreements duration</w:t>
      </w:r>
    </w:p>
    <w:p w14:paraId="0457AFC8" w14:textId="51AF8E00" w:rsidR="005A3848" w:rsidRDefault="001B43F3" w:rsidP="009C3B8F">
      <w:pPr>
        <w:spacing w:before="120"/>
        <w:jc w:val="both"/>
        <w:rPr>
          <w:lang w:val="en-US"/>
        </w:rPr>
      </w:pPr>
      <w:r w:rsidRPr="00C1039E">
        <w:rPr>
          <w:lang w:val="en-US"/>
        </w:rPr>
        <w:t xml:space="preserve">This Agreement applies </w:t>
      </w:r>
      <w:proofErr w:type="gramStart"/>
      <w:r w:rsidRPr="00C1039E">
        <w:rPr>
          <w:lang w:val="en-US"/>
        </w:rPr>
        <w:t>as long as</w:t>
      </w:r>
      <w:proofErr w:type="gramEnd"/>
      <w:r w:rsidRPr="00C1039E">
        <w:rPr>
          <w:lang w:val="en-US"/>
        </w:rPr>
        <w:t xml:space="preserve"> Sub-processor processes personal data on behalf of Data Processor originating in the Main </w:t>
      </w:r>
      <w:r w:rsidR="00BA35EC" w:rsidRPr="00C1039E">
        <w:rPr>
          <w:lang w:val="en-US"/>
        </w:rPr>
        <w:t>Contract</w:t>
      </w:r>
      <w:r w:rsidR="00536491">
        <w:rPr>
          <w:lang w:val="en-US"/>
        </w:rPr>
        <w:t xml:space="preserve"> Service</w:t>
      </w:r>
      <w:r w:rsidR="00BA35EC" w:rsidRPr="00C1039E">
        <w:rPr>
          <w:lang w:val="en-US"/>
        </w:rPr>
        <w:t xml:space="preserve"> </w:t>
      </w:r>
      <w:r w:rsidRPr="00C1039E">
        <w:rPr>
          <w:lang w:val="en-US"/>
        </w:rPr>
        <w:t>agreement.</w:t>
      </w:r>
      <w:bookmarkStart w:id="9" w:name="_Toc231181841"/>
      <w:r w:rsidR="0054298D" w:rsidRPr="00C1039E">
        <w:rPr>
          <w:lang w:val="en-US"/>
        </w:rPr>
        <w:t xml:space="preserve"> </w:t>
      </w:r>
      <w:bookmarkEnd w:id="9"/>
    </w:p>
    <w:p w14:paraId="750E2068" w14:textId="77777777" w:rsidR="00C73B2A" w:rsidRPr="00C73B2A" w:rsidRDefault="00C73B2A" w:rsidP="00C73B2A">
      <w:pPr>
        <w:rPr>
          <w:lang w:val="en-US" w:eastAsia="en-US"/>
        </w:rPr>
      </w:pPr>
    </w:p>
    <w:p w14:paraId="28CC5EEF" w14:textId="77777777" w:rsidR="00C73B2A" w:rsidRPr="00536491" w:rsidRDefault="00C73B2A" w:rsidP="00C73B2A">
      <w:pPr>
        <w:spacing w:after="240"/>
        <w:ind w:left="720"/>
        <w:jc w:val="both"/>
        <w:rPr>
          <w:rFonts w:cs="Arial"/>
          <w:bCs/>
        </w:rPr>
      </w:pPr>
      <w:bookmarkStart w:id="10" w:name="_Toc231181842"/>
    </w:p>
    <w:tbl>
      <w:tblPr>
        <w:tblW w:w="9259" w:type="dxa"/>
        <w:tblLook w:val="0000" w:firstRow="0" w:lastRow="0" w:firstColumn="0" w:lastColumn="0" w:noHBand="0" w:noVBand="0"/>
      </w:tblPr>
      <w:tblGrid>
        <w:gridCol w:w="4652"/>
        <w:gridCol w:w="427"/>
        <w:gridCol w:w="4180"/>
      </w:tblGrid>
      <w:tr w:rsidR="00C73B2A" w:rsidRPr="00536491" w14:paraId="0B076B0E" w14:textId="77777777" w:rsidTr="00BB2A23">
        <w:tc>
          <w:tcPr>
            <w:tcW w:w="4652" w:type="dxa"/>
            <w:tcBorders>
              <w:top w:val="single" w:sz="4" w:space="0" w:color="auto"/>
            </w:tcBorders>
          </w:tcPr>
          <w:p w14:paraId="4362C952" w14:textId="77777777" w:rsidR="00C73B2A" w:rsidRPr="00536491" w:rsidRDefault="00C73B2A" w:rsidP="00BB2A23">
            <w:pPr>
              <w:jc w:val="both"/>
              <w:rPr>
                <w:rFonts w:cs="Arial"/>
                <w:bCs/>
              </w:rPr>
            </w:pPr>
            <w:r w:rsidRPr="00536491">
              <w:rPr>
                <w:rFonts w:cs="Arial"/>
                <w:bCs/>
              </w:rPr>
              <w:t>Authorised Signature</w:t>
            </w:r>
          </w:p>
        </w:tc>
        <w:tc>
          <w:tcPr>
            <w:tcW w:w="427" w:type="dxa"/>
          </w:tcPr>
          <w:p w14:paraId="3FD2281B" w14:textId="77777777" w:rsidR="00C73B2A" w:rsidRPr="00536491" w:rsidRDefault="00C73B2A" w:rsidP="00BB2A23">
            <w:pPr>
              <w:jc w:val="both"/>
              <w:rPr>
                <w:rFonts w:cs="Arial"/>
                <w:bCs/>
              </w:rPr>
            </w:pPr>
          </w:p>
        </w:tc>
        <w:tc>
          <w:tcPr>
            <w:tcW w:w="4180" w:type="dxa"/>
            <w:tcBorders>
              <w:top w:val="single" w:sz="4" w:space="0" w:color="auto"/>
            </w:tcBorders>
          </w:tcPr>
          <w:p w14:paraId="7C595B10" w14:textId="77777777" w:rsidR="00C73B2A" w:rsidRPr="00536491" w:rsidRDefault="00C73B2A" w:rsidP="00BB2A23">
            <w:pPr>
              <w:jc w:val="both"/>
              <w:rPr>
                <w:rFonts w:cs="Arial"/>
                <w:bCs/>
              </w:rPr>
            </w:pPr>
            <w:r w:rsidRPr="00536491">
              <w:rPr>
                <w:rFonts w:cs="Arial"/>
                <w:bCs/>
              </w:rPr>
              <w:t>Authorised Signature</w:t>
            </w:r>
          </w:p>
        </w:tc>
      </w:tr>
      <w:tr w:rsidR="00C73B2A" w:rsidRPr="00536491" w14:paraId="39082F4B" w14:textId="77777777" w:rsidTr="00BB2A23">
        <w:tc>
          <w:tcPr>
            <w:tcW w:w="4652" w:type="dxa"/>
          </w:tcPr>
          <w:p w14:paraId="36A29D7A" w14:textId="77777777" w:rsidR="00C73B2A" w:rsidRPr="00536491" w:rsidRDefault="00C73B2A" w:rsidP="00BB2A23">
            <w:pPr>
              <w:jc w:val="both"/>
              <w:rPr>
                <w:rFonts w:cs="Arial"/>
                <w:bCs/>
              </w:rPr>
            </w:pPr>
          </w:p>
        </w:tc>
        <w:tc>
          <w:tcPr>
            <w:tcW w:w="427" w:type="dxa"/>
          </w:tcPr>
          <w:p w14:paraId="17801D4D" w14:textId="77777777" w:rsidR="00C73B2A" w:rsidRPr="00536491" w:rsidRDefault="00C73B2A" w:rsidP="00BB2A23">
            <w:pPr>
              <w:jc w:val="both"/>
              <w:rPr>
                <w:rFonts w:cs="Arial"/>
                <w:bCs/>
              </w:rPr>
            </w:pPr>
          </w:p>
        </w:tc>
        <w:tc>
          <w:tcPr>
            <w:tcW w:w="4180" w:type="dxa"/>
          </w:tcPr>
          <w:p w14:paraId="28F0CD7E" w14:textId="77777777" w:rsidR="00C73B2A" w:rsidRPr="00536491" w:rsidRDefault="00C73B2A" w:rsidP="00BB2A23">
            <w:pPr>
              <w:jc w:val="both"/>
              <w:rPr>
                <w:rFonts w:cs="Arial"/>
                <w:bCs/>
              </w:rPr>
            </w:pPr>
          </w:p>
        </w:tc>
      </w:tr>
      <w:tr w:rsidR="00C73B2A" w:rsidRPr="00536491" w14:paraId="40B6B2AD" w14:textId="77777777" w:rsidTr="00BB2A23">
        <w:tc>
          <w:tcPr>
            <w:tcW w:w="4652" w:type="dxa"/>
          </w:tcPr>
          <w:p w14:paraId="0A0B25E5" w14:textId="77777777" w:rsidR="00C73B2A" w:rsidRPr="00536491" w:rsidRDefault="00C73B2A" w:rsidP="00BB2A23">
            <w:pPr>
              <w:jc w:val="both"/>
              <w:rPr>
                <w:rFonts w:cs="Arial"/>
                <w:bCs/>
              </w:rPr>
            </w:pPr>
          </w:p>
        </w:tc>
        <w:tc>
          <w:tcPr>
            <w:tcW w:w="427" w:type="dxa"/>
          </w:tcPr>
          <w:p w14:paraId="68B966E7" w14:textId="77777777" w:rsidR="00C73B2A" w:rsidRPr="00536491" w:rsidRDefault="00C73B2A" w:rsidP="00BB2A23">
            <w:pPr>
              <w:jc w:val="both"/>
              <w:rPr>
                <w:rFonts w:cs="Arial"/>
                <w:bCs/>
              </w:rPr>
            </w:pPr>
          </w:p>
        </w:tc>
        <w:tc>
          <w:tcPr>
            <w:tcW w:w="4180" w:type="dxa"/>
          </w:tcPr>
          <w:p w14:paraId="2BADAC46" w14:textId="77777777" w:rsidR="00C73B2A" w:rsidRPr="00536491" w:rsidRDefault="00C73B2A" w:rsidP="00BB2A23">
            <w:pPr>
              <w:jc w:val="both"/>
              <w:rPr>
                <w:rFonts w:cs="Arial"/>
                <w:bCs/>
                <w:sz w:val="22"/>
                <w:szCs w:val="22"/>
              </w:rPr>
            </w:pPr>
          </w:p>
        </w:tc>
      </w:tr>
      <w:tr w:rsidR="00C73B2A" w:rsidRPr="00536491" w14:paraId="44699784" w14:textId="77777777" w:rsidTr="00BB2A23">
        <w:tc>
          <w:tcPr>
            <w:tcW w:w="4652" w:type="dxa"/>
          </w:tcPr>
          <w:p w14:paraId="3BF167FF" w14:textId="77777777" w:rsidR="00C73B2A" w:rsidRPr="00536491" w:rsidRDefault="00C73B2A" w:rsidP="00BB2A23">
            <w:pPr>
              <w:jc w:val="both"/>
              <w:rPr>
                <w:rFonts w:cs="Arial"/>
                <w:bCs/>
              </w:rPr>
            </w:pPr>
          </w:p>
        </w:tc>
        <w:tc>
          <w:tcPr>
            <w:tcW w:w="427" w:type="dxa"/>
          </w:tcPr>
          <w:p w14:paraId="372F709D" w14:textId="77777777" w:rsidR="00C73B2A" w:rsidRPr="00536491" w:rsidRDefault="00C73B2A" w:rsidP="00BB2A23">
            <w:pPr>
              <w:jc w:val="both"/>
              <w:rPr>
                <w:rFonts w:cs="Arial"/>
                <w:bCs/>
              </w:rPr>
            </w:pPr>
          </w:p>
        </w:tc>
        <w:tc>
          <w:tcPr>
            <w:tcW w:w="4180" w:type="dxa"/>
          </w:tcPr>
          <w:p w14:paraId="31FFFBBF" w14:textId="4D670487" w:rsidR="00C73B2A" w:rsidRPr="00536491" w:rsidRDefault="00C73B2A" w:rsidP="00BB2A23">
            <w:pPr>
              <w:spacing w:after="120"/>
              <w:jc w:val="both"/>
              <w:rPr>
                <w:rFonts w:cs="Arial"/>
                <w:bCs/>
                <w:sz w:val="22"/>
                <w:szCs w:val="22"/>
              </w:rPr>
            </w:pPr>
          </w:p>
        </w:tc>
      </w:tr>
      <w:tr w:rsidR="00C73B2A" w:rsidRPr="00536491" w14:paraId="4B6A60C3" w14:textId="77777777" w:rsidTr="00BB2A23">
        <w:tc>
          <w:tcPr>
            <w:tcW w:w="4652" w:type="dxa"/>
            <w:tcBorders>
              <w:top w:val="single" w:sz="4" w:space="0" w:color="auto"/>
            </w:tcBorders>
          </w:tcPr>
          <w:p w14:paraId="21E68795" w14:textId="77777777" w:rsidR="00C73B2A" w:rsidRPr="00536491" w:rsidRDefault="00C73B2A" w:rsidP="00BB2A23">
            <w:pPr>
              <w:jc w:val="both"/>
              <w:rPr>
                <w:rFonts w:cs="Arial"/>
                <w:bCs/>
              </w:rPr>
            </w:pPr>
            <w:r w:rsidRPr="00536491">
              <w:rPr>
                <w:rFonts w:cs="Arial"/>
                <w:bCs/>
              </w:rPr>
              <w:t>Name and Position</w:t>
            </w:r>
          </w:p>
        </w:tc>
        <w:tc>
          <w:tcPr>
            <w:tcW w:w="427" w:type="dxa"/>
          </w:tcPr>
          <w:p w14:paraId="23EC36CC" w14:textId="77777777" w:rsidR="00C73B2A" w:rsidRPr="00536491" w:rsidRDefault="00C73B2A" w:rsidP="00BB2A23">
            <w:pPr>
              <w:jc w:val="both"/>
              <w:rPr>
                <w:rFonts w:cs="Arial"/>
                <w:bCs/>
              </w:rPr>
            </w:pPr>
          </w:p>
        </w:tc>
        <w:tc>
          <w:tcPr>
            <w:tcW w:w="4180" w:type="dxa"/>
            <w:tcBorders>
              <w:top w:val="single" w:sz="4" w:space="0" w:color="auto"/>
            </w:tcBorders>
          </w:tcPr>
          <w:p w14:paraId="37FEF784" w14:textId="77777777" w:rsidR="00C73B2A" w:rsidRPr="00536491" w:rsidRDefault="00C73B2A" w:rsidP="00BB2A23">
            <w:pPr>
              <w:jc w:val="both"/>
              <w:rPr>
                <w:rFonts w:cs="Arial"/>
                <w:bCs/>
              </w:rPr>
            </w:pPr>
            <w:r w:rsidRPr="00536491">
              <w:rPr>
                <w:rFonts w:cs="Arial"/>
                <w:bCs/>
              </w:rPr>
              <w:t>Name and Position</w:t>
            </w:r>
          </w:p>
        </w:tc>
      </w:tr>
      <w:tr w:rsidR="00C73B2A" w:rsidRPr="00536491" w14:paraId="63AC53FC" w14:textId="77777777" w:rsidTr="00BB2A23">
        <w:tc>
          <w:tcPr>
            <w:tcW w:w="4652" w:type="dxa"/>
          </w:tcPr>
          <w:p w14:paraId="4B0F0290" w14:textId="77777777" w:rsidR="00C73B2A" w:rsidRPr="00536491" w:rsidRDefault="00C73B2A" w:rsidP="00BB2A23">
            <w:pPr>
              <w:jc w:val="both"/>
              <w:rPr>
                <w:rFonts w:cs="Arial"/>
                <w:bCs/>
              </w:rPr>
            </w:pPr>
          </w:p>
        </w:tc>
        <w:tc>
          <w:tcPr>
            <w:tcW w:w="427" w:type="dxa"/>
          </w:tcPr>
          <w:p w14:paraId="19E23378" w14:textId="77777777" w:rsidR="00C73B2A" w:rsidRPr="00536491" w:rsidRDefault="00C73B2A" w:rsidP="00BB2A23">
            <w:pPr>
              <w:jc w:val="both"/>
              <w:rPr>
                <w:rFonts w:cs="Arial"/>
                <w:bCs/>
              </w:rPr>
            </w:pPr>
          </w:p>
        </w:tc>
        <w:tc>
          <w:tcPr>
            <w:tcW w:w="4180" w:type="dxa"/>
          </w:tcPr>
          <w:p w14:paraId="15DD3E51" w14:textId="77777777" w:rsidR="00C73B2A" w:rsidRPr="00536491" w:rsidRDefault="00C73B2A" w:rsidP="00BB2A23">
            <w:pPr>
              <w:jc w:val="both"/>
              <w:rPr>
                <w:rFonts w:cs="Arial"/>
                <w:bCs/>
              </w:rPr>
            </w:pPr>
          </w:p>
        </w:tc>
      </w:tr>
      <w:tr w:rsidR="00C73B2A" w:rsidRPr="00536491" w14:paraId="7D08FB60" w14:textId="77777777" w:rsidTr="00BB2A23">
        <w:tc>
          <w:tcPr>
            <w:tcW w:w="4652" w:type="dxa"/>
            <w:tcBorders>
              <w:top w:val="single" w:sz="4" w:space="0" w:color="auto"/>
            </w:tcBorders>
          </w:tcPr>
          <w:p w14:paraId="651ECAFA" w14:textId="77777777" w:rsidR="00C73B2A" w:rsidRPr="00536491" w:rsidRDefault="00C73B2A" w:rsidP="00BB2A23">
            <w:pPr>
              <w:jc w:val="both"/>
              <w:rPr>
                <w:rFonts w:cs="Arial"/>
                <w:bCs/>
              </w:rPr>
            </w:pPr>
            <w:r w:rsidRPr="00536491">
              <w:rPr>
                <w:rFonts w:cs="Arial"/>
                <w:bCs/>
              </w:rPr>
              <w:t>Date</w:t>
            </w:r>
          </w:p>
        </w:tc>
        <w:tc>
          <w:tcPr>
            <w:tcW w:w="427" w:type="dxa"/>
          </w:tcPr>
          <w:p w14:paraId="695DD041" w14:textId="77777777" w:rsidR="00C73B2A" w:rsidRPr="00536491" w:rsidRDefault="00C73B2A" w:rsidP="00BB2A23">
            <w:pPr>
              <w:jc w:val="both"/>
              <w:rPr>
                <w:rFonts w:cs="Arial"/>
                <w:bCs/>
              </w:rPr>
            </w:pPr>
          </w:p>
        </w:tc>
        <w:tc>
          <w:tcPr>
            <w:tcW w:w="4180" w:type="dxa"/>
            <w:tcBorders>
              <w:top w:val="single" w:sz="4" w:space="0" w:color="auto"/>
            </w:tcBorders>
          </w:tcPr>
          <w:p w14:paraId="4F0B3BFB" w14:textId="77777777" w:rsidR="00C73B2A" w:rsidRPr="00536491" w:rsidRDefault="00C73B2A" w:rsidP="00BB2A23">
            <w:pPr>
              <w:jc w:val="both"/>
              <w:rPr>
                <w:rFonts w:cs="Arial"/>
                <w:bCs/>
              </w:rPr>
            </w:pPr>
            <w:r w:rsidRPr="00536491">
              <w:rPr>
                <w:rFonts w:cs="Arial"/>
                <w:bCs/>
              </w:rPr>
              <w:t>Date</w:t>
            </w:r>
          </w:p>
        </w:tc>
      </w:tr>
      <w:tr w:rsidR="00C73B2A" w:rsidRPr="00536491" w14:paraId="6C3AB1A6" w14:textId="77777777" w:rsidTr="00BB2A23">
        <w:tc>
          <w:tcPr>
            <w:tcW w:w="4652" w:type="dxa"/>
          </w:tcPr>
          <w:p w14:paraId="5CA080FE" w14:textId="77777777" w:rsidR="00C73B2A" w:rsidRPr="00536491" w:rsidRDefault="00C73B2A" w:rsidP="00BB2A23">
            <w:pPr>
              <w:jc w:val="both"/>
              <w:rPr>
                <w:rFonts w:cs="Arial"/>
                <w:bCs/>
              </w:rPr>
            </w:pPr>
          </w:p>
        </w:tc>
        <w:tc>
          <w:tcPr>
            <w:tcW w:w="427" w:type="dxa"/>
          </w:tcPr>
          <w:p w14:paraId="14817880" w14:textId="77777777" w:rsidR="00C73B2A" w:rsidRPr="00536491" w:rsidRDefault="00C73B2A" w:rsidP="00BB2A23">
            <w:pPr>
              <w:jc w:val="both"/>
              <w:rPr>
                <w:rFonts w:cs="Arial"/>
                <w:bCs/>
              </w:rPr>
            </w:pPr>
          </w:p>
        </w:tc>
        <w:tc>
          <w:tcPr>
            <w:tcW w:w="4180" w:type="dxa"/>
          </w:tcPr>
          <w:p w14:paraId="45F89360" w14:textId="77777777" w:rsidR="00C73B2A" w:rsidRPr="00536491" w:rsidRDefault="00C73B2A" w:rsidP="00BB2A23">
            <w:pPr>
              <w:jc w:val="both"/>
              <w:rPr>
                <w:rFonts w:cs="Arial"/>
                <w:bCs/>
              </w:rPr>
            </w:pPr>
          </w:p>
        </w:tc>
      </w:tr>
      <w:tr w:rsidR="00C73B2A" w:rsidRPr="00536491" w14:paraId="5F4F12E2" w14:textId="77777777" w:rsidTr="00BB2A23">
        <w:tc>
          <w:tcPr>
            <w:tcW w:w="4652" w:type="dxa"/>
            <w:tcBorders>
              <w:top w:val="single" w:sz="4" w:space="0" w:color="auto"/>
            </w:tcBorders>
          </w:tcPr>
          <w:p w14:paraId="3078015C" w14:textId="77777777" w:rsidR="00C73B2A" w:rsidRPr="00536491" w:rsidRDefault="00C73B2A" w:rsidP="00BB2A23">
            <w:pPr>
              <w:jc w:val="both"/>
              <w:rPr>
                <w:rFonts w:cs="Arial"/>
                <w:bCs/>
              </w:rPr>
            </w:pPr>
            <w:r w:rsidRPr="00536491">
              <w:rPr>
                <w:rFonts w:cs="Arial"/>
                <w:bCs/>
              </w:rPr>
              <w:t>Data Processor</w:t>
            </w:r>
          </w:p>
          <w:p w14:paraId="22BE1D1A" w14:textId="1837D1CA" w:rsidR="00C73B2A" w:rsidRPr="00536491" w:rsidRDefault="00C73B2A" w:rsidP="00BB2A23">
            <w:pPr>
              <w:jc w:val="both"/>
              <w:rPr>
                <w:rFonts w:cs="Arial"/>
                <w:bCs/>
              </w:rPr>
            </w:pPr>
          </w:p>
        </w:tc>
        <w:tc>
          <w:tcPr>
            <w:tcW w:w="427" w:type="dxa"/>
          </w:tcPr>
          <w:p w14:paraId="726F2238" w14:textId="77777777" w:rsidR="00C73B2A" w:rsidRPr="00536491" w:rsidRDefault="00C73B2A" w:rsidP="00BB2A23">
            <w:pPr>
              <w:jc w:val="both"/>
              <w:rPr>
                <w:rFonts w:cs="Arial"/>
                <w:bCs/>
              </w:rPr>
            </w:pPr>
          </w:p>
        </w:tc>
        <w:tc>
          <w:tcPr>
            <w:tcW w:w="4180" w:type="dxa"/>
            <w:tcBorders>
              <w:top w:val="single" w:sz="4" w:space="0" w:color="auto"/>
            </w:tcBorders>
          </w:tcPr>
          <w:p w14:paraId="2C80ABE4" w14:textId="1D01F2BA" w:rsidR="00C73B2A" w:rsidRPr="00536491" w:rsidRDefault="00C73B2A" w:rsidP="00BB2A23">
            <w:pPr>
              <w:jc w:val="both"/>
              <w:rPr>
                <w:rFonts w:cs="Arial"/>
                <w:bCs/>
              </w:rPr>
            </w:pPr>
            <w:r w:rsidRPr="00536491">
              <w:rPr>
                <w:rFonts w:cs="Arial"/>
                <w:bCs/>
              </w:rPr>
              <w:t>Data Sub-Processor</w:t>
            </w:r>
          </w:p>
        </w:tc>
      </w:tr>
      <w:tr w:rsidR="00C73B2A" w:rsidRPr="006A3DFB" w14:paraId="4D70A785" w14:textId="77777777" w:rsidTr="00BB2A23">
        <w:trPr>
          <w:gridAfter w:val="1"/>
          <w:wAfter w:w="4180" w:type="dxa"/>
        </w:trPr>
        <w:tc>
          <w:tcPr>
            <w:tcW w:w="4652" w:type="dxa"/>
          </w:tcPr>
          <w:p w14:paraId="779445C2" w14:textId="77777777" w:rsidR="00C73B2A" w:rsidRPr="006A3DFB" w:rsidRDefault="00C73B2A" w:rsidP="00BB2A23">
            <w:pPr>
              <w:jc w:val="both"/>
              <w:rPr>
                <w:rFonts w:cs="Arial"/>
                <w:b/>
              </w:rPr>
            </w:pPr>
          </w:p>
        </w:tc>
        <w:tc>
          <w:tcPr>
            <w:tcW w:w="427" w:type="dxa"/>
          </w:tcPr>
          <w:p w14:paraId="0E4525A1" w14:textId="77777777" w:rsidR="00C73B2A" w:rsidRPr="00400E64" w:rsidRDefault="00C73B2A" w:rsidP="00BB2A23">
            <w:pPr>
              <w:jc w:val="both"/>
              <w:rPr>
                <w:rFonts w:cs="Arial"/>
              </w:rPr>
            </w:pPr>
          </w:p>
        </w:tc>
      </w:tr>
      <w:tr w:rsidR="00C73B2A" w:rsidRPr="006A3DFB" w14:paraId="377E6AE7" w14:textId="77777777" w:rsidTr="00BB2A23">
        <w:trPr>
          <w:gridAfter w:val="1"/>
          <w:wAfter w:w="4180" w:type="dxa"/>
        </w:trPr>
        <w:tc>
          <w:tcPr>
            <w:tcW w:w="4652" w:type="dxa"/>
          </w:tcPr>
          <w:p w14:paraId="75D76D29" w14:textId="77777777" w:rsidR="00C73B2A" w:rsidRPr="006A3DFB" w:rsidRDefault="00C73B2A" w:rsidP="00BB2A23">
            <w:pPr>
              <w:jc w:val="both"/>
              <w:rPr>
                <w:rFonts w:cs="Arial"/>
                <w:b/>
              </w:rPr>
            </w:pPr>
          </w:p>
        </w:tc>
        <w:tc>
          <w:tcPr>
            <w:tcW w:w="427" w:type="dxa"/>
          </w:tcPr>
          <w:p w14:paraId="6483A18C" w14:textId="77777777" w:rsidR="00C73B2A" w:rsidRPr="00400E64" w:rsidRDefault="00C73B2A" w:rsidP="00BB2A23">
            <w:pPr>
              <w:jc w:val="both"/>
              <w:rPr>
                <w:rFonts w:cs="Arial"/>
              </w:rPr>
            </w:pPr>
          </w:p>
        </w:tc>
      </w:tr>
      <w:tr w:rsidR="00C73B2A" w:rsidRPr="006A3DFB" w14:paraId="190C73A8" w14:textId="77777777" w:rsidTr="00BB2A23">
        <w:trPr>
          <w:gridAfter w:val="1"/>
          <w:wAfter w:w="4180" w:type="dxa"/>
          <w:trHeight w:val="80"/>
        </w:trPr>
        <w:tc>
          <w:tcPr>
            <w:tcW w:w="4652" w:type="dxa"/>
          </w:tcPr>
          <w:p w14:paraId="07D7F09F" w14:textId="77777777" w:rsidR="00C73B2A" w:rsidRPr="006A3DFB" w:rsidRDefault="00C73B2A" w:rsidP="00BB2A23">
            <w:pPr>
              <w:jc w:val="both"/>
              <w:rPr>
                <w:rFonts w:cs="Arial"/>
                <w:b/>
              </w:rPr>
            </w:pPr>
          </w:p>
        </w:tc>
        <w:tc>
          <w:tcPr>
            <w:tcW w:w="427" w:type="dxa"/>
          </w:tcPr>
          <w:p w14:paraId="0236A8EE" w14:textId="77777777" w:rsidR="00C73B2A" w:rsidRPr="00400E64" w:rsidRDefault="00C73B2A" w:rsidP="00BB2A23">
            <w:pPr>
              <w:jc w:val="both"/>
              <w:rPr>
                <w:rFonts w:cs="Arial"/>
              </w:rPr>
            </w:pPr>
          </w:p>
        </w:tc>
      </w:tr>
    </w:tbl>
    <w:bookmarkEnd w:id="10"/>
    <w:p w14:paraId="5CC134D3" w14:textId="16D20F31" w:rsidR="00A42164" w:rsidRDefault="00BB5361" w:rsidP="007D7D53">
      <w:pPr>
        <w:rPr>
          <w:b/>
        </w:rPr>
      </w:pPr>
      <w:r w:rsidRPr="007D7D53">
        <w:rPr>
          <w:b/>
          <w:lang w:val="en-US"/>
        </w:rPr>
        <w:lastRenderedPageBreak/>
        <w:t xml:space="preserve">ANNEX 1 – </w:t>
      </w:r>
      <w:r w:rsidR="007D7D53" w:rsidRPr="007D7D53">
        <w:rPr>
          <w:b/>
        </w:rPr>
        <w:t>Purposes for which the Data Processor may process Personal Data</w:t>
      </w:r>
      <w:r w:rsidR="00BF6F8A">
        <w:rPr>
          <w:b/>
        </w:rPr>
        <w:t xml:space="preserve"> (Social Security System)</w:t>
      </w:r>
    </w:p>
    <w:p w14:paraId="79694296" w14:textId="562C67E1" w:rsidR="0078182B" w:rsidRDefault="0078182B" w:rsidP="007D7D53">
      <w:pPr>
        <w:rPr>
          <w:b/>
        </w:rPr>
      </w:pPr>
    </w:p>
    <w:p w14:paraId="009A1874" w14:textId="32A8DB54" w:rsidR="0078182B" w:rsidRDefault="0078182B" w:rsidP="007D7D53">
      <w:pPr>
        <w:rPr>
          <w:b/>
        </w:rPr>
      </w:pPr>
    </w:p>
    <w:tbl>
      <w:tblPr>
        <w:tblW w:w="9351" w:type="dxa"/>
        <w:tblLook w:val="04A0" w:firstRow="1" w:lastRow="0" w:firstColumn="1" w:lastColumn="0" w:noHBand="0" w:noVBand="1"/>
      </w:tblPr>
      <w:tblGrid>
        <w:gridCol w:w="4106"/>
        <w:gridCol w:w="5245"/>
      </w:tblGrid>
      <w:tr w:rsidR="0078182B" w:rsidRPr="0078182B" w14:paraId="39E7A40B" w14:textId="77777777" w:rsidTr="00BC1A67">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E792D01" w14:textId="77777777" w:rsidR="0078182B" w:rsidRPr="0078182B" w:rsidRDefault="0078182B" w:rsidP="00BB2A23">
            <w:pPr>
              <w:rPr>
                <w:lang w:eastAsia="en-GB"/>
              </w:rPr>
            </w:pPr>
            <w:r w:rsidRPr="0078182B">
              <w:rPr>
                <w:lang w:eastAsia="en-GB"/>
              </w:rPr>
              <w:t>Description</w:t>
            </w:r>
          </w:p>
        </w:tc>
        <w:tc>
          <w:tcPr>
            <w:tcW w:w="5245"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09C0862A" w14:textId="77777777" w:rsidR="0078182B" w:rsidRPr="0078182B" w:rsidRDefault="0078182B" w:rsidP="00BB2A23">
            <w:pPr>
              <w:rPr>
                <w:lang w:eastAsia="en-GB"/>
              </w:rPr>
            </w:pPr>
            <w:r w:rsidRPr="0078182B">
              <w:rPr>
                <w:lang w:eastAsia="en-GB"/>
              </w:rPr>
              <w:t>Details</w:t>
            </w:r>
          </w:p>
        </w:tc>
      </w:tr>
      <w:tr w:rsidR="0078182B" w:rsidRPr="0078182B" w14:paraId="19C3C5FC" w14:textId="77777777" w:rsidTr="00BC1A67">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68D08F9" w14:textId="77777777" w:rsidR="0078182B" w:rsidRPr="0078182B" w:rsidRDefault="0078182B" w:rsidP="00BB2A23">
            <w:pPr>
              <w:rPr>
                <w:lang w:eastAsia="en-GB"/>
              </w:rPr>
            </w:pPr>
          </w:p>
          <w:p w14:paraId="6B9DFD2A" w14:textId="0AE9D62B" w:rsidR="0078182B" w:rsidRDefault="0078182B" w:rsidP="00BB2A23">
            <w:pPr>
              <w:rPr>
                <w:lang w:eastAsia="en-GB"/>
              </w:rPr>
            </w:pPr>
            <w:r w:rsidRPr="0078182B">
              <w:rPr>
                <w:lang w:eastAsia="en-GB"/>
              </w:rPr>
              <w:t>Subject matter of the processing (i.e. why the data is being processed/purpose of the Contract)</w:t>
            </w:r>
          </w:p>
          <w:p w14:paraId="47C9E665" w14:textId="77777777" w:rsidR="00BC1A67" w:rsidRPr="0078182B" w:rsidRDefault="00BC1A67" w:rsidP="00BB2A23">
            <w:pPr>
              <w:rPr>
                <w:lang w:eastAsia="en-GB"/>
              </w:rPr>
            </w:pPr>
          </w:p>
          <w:p w14:paraId="270623C1" w14:textId="77777777" w:rsidR="0078182B" w:rsidRPr="0078182B" w:rsidRDefault="0078182B" w:rsidP="00BB2A23">
            <w:pPr>
              <w:rPr>
                <w:lang w:eastAsia="en-GB"/>
              </w:rPr>
            </w:pPr>
          </w:p>
          <w:p w14:paraId="31966161" w14:textId="77777777" w:rsidR="0078182B" w:rsidRPr="0078182B" w:rsidRDefault="0078182B" w:rsidP="00BB2A23">
            <w:pPr>
              <w:rPr>
                <w:lang w:eastAsia="en-GB"/>
              </w:rPr>
            </w:pPr>
          </w:p>
        </w:tc>
        <w:tc>
          <w:tcPr>
            <w:tcW w:w="5245" w:type="dxa"/>
            <w:tcBorders>
              <w:top w:val="nil"/>
              <w:left w:val="nil"/>
              <w:bottom w:val="single" w:sz="4" w:space="0" w:color="auto"/>
              <w:right w:val="single" w:sz="4" w:space="0" w:color="auto"/>
            </w:tcBorders>
            <w:shd w:val="clear" w:color="auto" w:fill="auto"/>
            <w:noWrap/>
          </w:tcPr>
          <w:p w14:paraId="71229DE7" w14:textId="77777777" w:rsidR="0078182B" w:rsidRPr="0078182B" w:rsidRDefault="0078182B" w:rsidP="00BB2A23">
            <w:pPr>
              <w:rPr>
                <w:lang w:eastAsia="en-GB"/>
              </w:rPr>
            </w:pPr>
          </w:p>
          <w:p w14:paraId="0F2501D3" w14:textId="5D32303D" w:rsidR="0078182B" w:rsidRPr="0078182B" w:rsidRDefault="00BF6F8A" w:rsidP="00BC1A67">
            <w:pPr>
              <w:pStyle w:val="ListParagraph"/>
              <w:spacing w:before="120"/>
              <w:ind w:left="175"/>
              <w:rPr>
                <w:lang w:eastAsia="en-GB"/>
              </w:rPr>
            </w:pPr>
            <w:r w:rsidRPr="003B176C">
              <w:t xml:space="preserve">Contractor is to provide the Services as detailed in this Contract in relation to the Social Security.  </w:t>
            </w:r>
          </w:p>
        </w:tc>
      </w:tr>
      <w:tr w:rsidR="00BF6F8A" w:rsidRPr="0078182B" w14:paraId="26068885" w14:textId="77777777" w:rsidTr="00BC1A67">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68F0F38" w14:textId="77777777" w:rsidR="00BF6F8A" w:rsidRPr="0078182B" w:rsidRDefault="00BF6F8A" w:rsidP="00BF6F8A">
            <w:pPr>
              <w:rPr>
                <w:lang w:eastAsia="en-GB"/>
              </w:rPr>
            </w:pPr>
          </w:p>
          <w:p w14:paraId="39479370" w14:textId="77777777" w:rsidR="00BF6F8A" w:rsidRPr="0078182B" w:rsidRDefault="00BF6F8A" w:rsidP="00BF6F8A">
            <w:pPr>
              <w:rPr>
                <w:lang w:eastAsia="en-GB"/>
              </w:rPr>
            </w:pPr>
            <w:r w:rsidRPr="0078182B">
              <w:rPr>
                <w:lang w:eastAsia="en-GB"/>
              </w:rPr>
              <w:t xml:space="preserve">Duration of the processing (e.g. throughout the Contract or until a particular phase is reached) </w:t>
            </w:r>
          </w:p>
          <w:p w14:paraId="09EFFD18" w14:textId="77777777" w:rsidR="00BF6F8A" w:rsidRPr="0078182B" w:rsidRDefault="00BF6F8A" w:rsidP="00BF6F8A">
            <w:pPr>
              <w:rPr>
                <w:lang w:eastAsia="en-GB"/>
              </w:rPr>
            </w:pPr>
          </w:p>
          <w:p w14:paraId="56CD272F" w14:textId="77777777" w:rsidR="00BF6F8A" w:rsidRPr="0078182B" w:rsidRDefault="00BF6F8A" w:rsidP="00BF6F8A">
            <w:pPr>
              <w:rPr>
                <w:lang w:eastAsia="en-GB"/>
              </w:rPr>
            </w:pPr>
          </w:p>
        </w:tc>
        <w:tc>
          <w:tcPr>
            <w:tcW w:w="5245" w:type="dxa"/>
            <w:tcBorders>
              <w:top w:val="nil"/>
              <w:left w:val="nil"/>
              <w:bottom w:val="single" w:sz="4" w:space="0" w:color="auto"/>
              <w:right w:val="single" w:sz="4" w:space="0" w:color="auto"/>
            </w:tcBorders>
            <w:shd w:val="clear" w:color="auto" w:fill="auto"/>
            <w:noWrap/>
          </w:tcPr>
          <w:p w14:paraId="5CCB78BA" w14:textId="77777777" w:rsidR="00BF6F8A" w:rsidRDefault="00BF6F8A" w:rsidP="00BF6F8A"/>
          <w:p w14:paraId="2135BFA9" w14:textId="416BBA00" w:rsidR="00BF6F8A" w:rsidRPr="0078182B" w:rsidRDefault="00BF6F8A" w:rsidP="00BF6F8A">
            <w:pPr>
              <w:rPr>
                <w:lang w:eastAsia="en-GB"/>
              </w:rPr>
            </w:pPr>
            <w:r w:rsidRPr="003B176C">
              <w:t xml:space="preserve">Throughout the Term of the Contract. </w:t>
            </w:r>
          </w:p>
        </w:tc>
      </w:tr>
      <w:tr w:rsidR="00BF6F8A" w:rsidRPr="0078182B" w14:paraId="2B7452A0" w14:textId="77777777" w:rsidTr="00BC1A67">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3E77D3E" w14:textId="77777777" w:rsidR="00BF6F8A" w:rsidRPr="0078182B" w:rsidRDefault="00BF6F8A" w:rsidP="00BF6F8A">
            <w:pPr>
              <w:rPr>
                <w:lang w:eastAsia="en-GB"/>
              </w:rPr>
            </w:pPr>
            <w:r w:rsidRPr="0078182B">
              <w:rPr>
                <w:lang w:eastAsia="en-GB"/>
              </w:rPr>
              <w:t>Nature and purposes of the processing</w:t>
            </w:r>
          </w:p>
          <w:p w14:paraId="12BCA7E4" w14:textId="77777777" w:rsidR="00BF6F8A" w:rsidRPr="0078182B" w:rsidRDefault="00BF6F8A" w:rsidP="00BF6F8A">
            <w:pPr>
              <w:rPr>
                <w:lang w:eastAsia="en-GB"/>
              </w:rPr>
            </w:pPr>
          </w:p>
          <w:p w14:paraId="6A818CC0" w14:textId="77777777" w:rsidR="00BF6F8A" w:rsidRPr="0078182B" w:rsidRDefault="00BF6F8A" w:rsidP="00BF6F8A">
            <w:pPr>
              <w:jc w:val="both"/>
              <w:rPr>
                <w:lang w:eastAsia="en-GB"/>
              </w:rPr>
            </w:pPr>
            <w:r w:rsidRPr="0078182B">
              <w:rPr>
                <w:lang w:eastAsia="en-GB"/>
              </w:rPr>
              <w:t xml:space="preserve">(i.e. why is it lawful to process such data: six lawful basis for processing (Consent/Contract/Legal Obligation/Vital Interests/Public Task/Legitimate Interest).  What is important is that this processing is necessary. </w:t>
            </w:r>
          </w:p>
          <w:p w14:paraId="07018110" w14:textId="77777777" w:rsidR="00BF6F8A" w:rsidRPr="0078182B" w:rsidRDefault="00BF6F8A" w:rsidP="00BF6F8A">
            <w:pPr>
              <w:jc w:val="both"/>
              <w:rPr>
                <w:lang w:eastAsia="en-GB"/>
              </w:rPr>
            </w:pPr>
          </w:p>
          <w:p w14:paraId="5FC0F816" w14:textId="77777777" w:rsidR="00BF6F8A" w:rsidRPr="0078182B" w:rsidRDefault="00BF6F8A" w:rsidP="00BF6F8A">
            <w:pPr>
              <w:jc w:val="both"/>
              <w:rPr>
                <w:lang w:eastAsia="en-GB"/>
              </w:rPr>
            </w:pPr>
            <w:r w:rsidRPr="0078182B">
              <w:rPr>
                <w:lang w:eastAsia="en-GB"/>
              </w:rPr>
              <w:t>If special category of data – you need to identify the general purposes for lawful processing as well as the special purpose for such processing).  Same applies if we are processing criminal convictions – we need a specific reason.</w:t>
            </w:r>
          </w:p>
          <w:p w14:paraId="08FA4374" w14:textId="77777777" w:rsidR="00BF6F8A" w:rsidRPr="0078182B" w:rsidRDefault="00BF6F8A" w:rsidP="00BF6F8A">
            <w:pPr>
              <w:jc w:val="both"/>
              <w:rPr>
                <w:lang w:eastAsia="en-GB"/>
              </w:rPr>
            </w:pPr>
          </w:p>
          <w:p w14:paraId="03FA7C5B" w14:textId="77777777" w:rsidR="00BF6F8A" w:rsidRPr="0078182B" w:rsidRDefault="00BF6F8A" w:rsidP="00BF6F8A">
            <w:pPr>
              <w:rPr>
                <w:lang w:eastAsia="en-GB"/>
              </w:rPr>
            </w:pPr>
          </w:p>
        </w:tc>
        <w:tc>
          <w:tcPr>
            <w:tcW w:w="5245" w:type="dxa"/>
            <w:tcBorders>
              <w:top w:val="nil"/>
              <w:left w:val="nil"/>
              <w:bottom w:val="single" w:sz="4" w:space="0" w:color="auto"/>
              <w:right w:val="single" w:sz="4" w:space="0" w:color="auto"/>
            </w:tcBorders>
            <w:shd w:val="clear" w:color="auto" w:fill="auto"/>
            <w:noWrap/>
          </w:tcPr>
          <w:p w14:paraId="1FE218E1" w14:textId="77777777" w:rsidR="00BF6F8A" w:rsidRDefault="00BF6F8A" w:rsidP="00BF6F8A">
            <w:pPr>
              <w:jc w:val="both"/>
            </w:pPr>
          </w:p>
          <w:p w14:paraId="40475649" w14:textId="77777777" w:rsidR="00BF6F8A" w:rsidRPr="003B176C" w:rsidRDefault="00BF6F8A" w:rsidP="00BF6F8A">
            <w:pPr>
              <w:autoSpaceDE w:val="0"/>
              <w:autoSpaceDN w:val="0"/>
              <w:adjustRightInd w:val="0"/>
              <w:jc w:val="both"/>
              <w:rPr>
                <w:rFonts w:cs="Arial"/>
              </w:rPr>
            </w:pPr>
            <w:r w:rsidRPr="003B176C">
              <w:rPr>
                <w:rFonts w:cs="Arial"/>
              </w:rPr>
              <w:t>The purpose of this contract is to modernise the core Social Security system. During the execution of this contract, the current system, its functionality and code business logic will be technically analysed, and new modernised products and components will be developed, tested and implemented.</w:t>
            </w:r>
          </w:p>
          <w:p w14:paraId="0BC60B95" w14:textId="77777777" w:rsidR="00BF6F8A" w:rsidRPr="003B176C" w:rsidRDefault="00BF6F8A" w:rsidP="00BF6F8A">
            <w:pPr>
              <w:jc w:val="both"/>
              <w:rPr>
                <w:lang w:eastAsia="en-GB"/>
              </w:rPr>
            </w:pPr>
          </w:p>
          <w:p w14:paraId="47B71D88" w14:textId="77777777" w:rsidR="00BF6F8A" w:rsidRPr="003B176C" w:rsidRDefault="00BF6F8A" w:rsidP="00BF6F8A">
            <w:pPr>
              <w:autoSpaceDE w:val="0"/>
              <w:autoSpaceDN w:val="0"/>
              <w:adjustRightInd w:val="0"/>
              <w:jc w:val="both"/>
              <w:rPr>
                <w:rFonts w:cs="Arial"/>
              </w:rPr>
            </w:pPr>
            <w:r w:rsidRPr="003B176C">
              <w:rPr>
                <w:rFonts w:cs="Arial"/>
              </w:rPr>
              <w:t xml:space="preserve">To provide the Services as detailed in the Contract.   The contractor is required to access Social Security system authorized environments and databases. Primary access shall be granted to authorized environment and database which holds sanitized data. </w:t>
            </w:r>
          </w:p>
          <w:p w14:paraId="56F4D268" w14:textId="77777777" w:rsidR="00BF6F8A" w:rsidRPr="003B176C" w:rsidRDefault="00BF6F8A" w:rsidP="00BF6F8A">
            <w:pPr>
              <w:jc w:val="both"/>
              <w:rPr>
                <w:lang w:eastAsia="en-GB"/>
              </w:rPr>
            </w:pPr>
          </w:p>
          <w:p w14:paraId="0938BE1F" w14:textId="77777777" w:rsidR="00BF6F8A" w:rsidRPr="003B176C" w:rsidRDefault="00BF6F8A" w:rsidP="00BF6F8A">
            <w:pPr>
              <w:autoSpaceDE w:val="0"/>
              <w:autoSpaceDN w:val="0"/>
              <w:adjustRightInd w:val="0"/>
              <w:jc w:val="both"/>
              <w:rPr>
                <w:rFonts w:cs="Arial"/>
              </w:rPr>
            </w:pPr>
            <w:r w:rsidRPr="003B176C">
              <w:rPr>
                <w:rFonts w:cs="Arial"/>
              </w:rPr>
              <w:t>The data processing involves using sanitised real-life cases (on the authorized environment) to analyze current functionality, develop and test modernized modules and functionality, and to complete testing activities during the term of the contract.</w:t>
            </w:r>
          </w:p>
          <w:p w14:paraId="60E252AC" w14:textId="77777777" w:rsidR="00BF6F8A" w:rsidRPr="003B176C" w:rsidRDefault="00BF6F8A" w:rsidP="00BF6F8A">
            <w:pPr>
              <w:jc w:val="both"/>
              <w:rPr>
                <w:lang w:eastAsia="en-GB"/>
              </w:rPr>
            </w:pPr>
          </w:p>
          <w:p w14:paraId="658A7F27" w14:textId="77777777" w:rsidR="00BF6F8A" w:rsidRPr="003B176C" w:rsidRDefault="00BF6F8A" w:rsidP="00BF6F8A">
            <w:pPr>
              <w:autoSpaceDE w:val="0"/>
              <w:autoSpaceDN w:val="0"/>
              <w:adjustRightInd w:val="0"/>
              <w:jc w:val="both"/>
              <w:rPr>
                <w:rFonts w:cs="Arial"/>
              </w:rPr>
            </w:pPr>
            <w:r w:rsidRPr="003B176C">
              <w:rPr>
                <w:rFonts w:cs="Arial"/>
              </w:rPr>
              <w:t>All the necessary technical measures have been taken to sanitise the data. However, there may be exceptional instances during this contract term, where test data (which is a replica of the SABS production database) may be accessed to understand specific scenarios and to perform functional simulation runs and/or tests.</w:t>
            </w:r>
          </w:p>
          <w:p w14:paraId="0D3CDFE0" w14:textId="77777777" w:rsidR="00BF6F8A" w:rsidRPr="003B176C" w:rsidRDefault="00BF6F8A" w:rsidP="00BF6F8A">
            <w:pPr>
              <w:autoSpaceDE w:val="0"/>
              <w:autoSpaceDN w:val="0"/>
              <w:adjustRightInd w:val="0"/>
              <w:jc w:val="both"/>
              <w:rPr>
                <w:rFonts w:ascii="Trebuchet MS" w:hAnsi="Trebuchet MS"/>
                <w:lang w:val="mt-MT"/>
              </w:rPr>
            </w:pPr>
          </w:p>
          <w:p w14:paraId="73654CA5" w14:textId="77777777" w:rsidR="00BF6F8A" w:rsidRPr="003B176C" w:rsidRDefault="00BF6F8A" w:rsidP="00BF6F8A">
            <w:pPr>
              <w:autoSpaceDE w:val="0"/>
              <w:autoSpaceDN w:val="0"/>
              <w:adjustRightInd w:val="0"/>
              <w:jc w:val="both"/>
              <w:rPr>
                <w:rFonts w:cs="Arial"/>
              </w:rPr>
            </w:pPr>
            <w:r w:rsidRPr="003B176C">
              <w:rPr>
                <w:rFonts w:cs="Arial"/>
              </w:rPr>
              <w:t xml:space="preserve">The Data Controller shall approve the access to and processing of test data when exceptional instances emerge while completing the assigned tasks throughout the contract term.      </w:t>
            </w:r>
          </w:p>
          <w:p w14:paraId="313077E5" w14:textId="04E3528A" w:rsidR="00BF6F8A" w:rsidRPr="0078182B" w:rsidRDefault="00BF6F8A" w:rsidP="00BF6F8A">
            <w:pPr>
              <w:jc w:val="both"/>
            </w:pPr>
          </w:p>
        </w:tc>
      </w:tr>
      <w:tr w:rsidR="00BF6F8A" w:rsidRPr="0078182B" w14:paraId="37C72172" w14:textId="77777777" w:rsidTr="00BC1A67">
        <w:trPr>
          <w:trHeight w:val="255"/>
        </w:trPr>
        <w:tc>
          <w:tcPr>
            <w:tcW w:w="4106" w:type="dxa"/>
            <w:tcBorders>
              <w:top w:val="nil"/>
              <w:left w:val="single" w:sz="4" w:space="0" w:color="auto"/>
              <w:bottom w:val="single" w:sz="4" w:space="0" w:color="auto"/>
              <w:right w:val="single" w:sz="4" w:space="0" w:color="auto"/>
            </w:tcBorders>
            <w:shd w:val="clear" w:color="auto" w:fill="auto"/>
            <w:noWrap/>
            <w:hideMark/>
          </w:tcPr>
          <w:p w14:paraId="28929413" w14:textId="77777777" w:rsidR="00BF6F8A" w:rsidRPr="0078182B" w:rsidRDefault="00BF6F8A" w:rsidP="00BF6F8A">
            <w:pPr>
              <w:rPr>
                <w:lang w:eastAsia="en-GB"/>
              </w:rPr>
            </w:pPr>
          </w:p>
          <w:p w14:paraId="1A476F7A" w14:textId="77777777" w:rsidR="00BF6F8A" w:rsidRPr="0078182B" w:rsidRDefault="00BF6F8A" w:rsidP="00BF6F8A">
            <w:pPr>
              <w:rPr>
                <w:lang w:eastAsia="en-GB"/>
              </w:rPr>
            </w:pPr>
            <w:r w:rsidRPr="0078182B">
              <w:rPr>
                <w:lang w:eastAsia="en-GB"/>
              </w:rPr>
              <w:t>Type of Personal Data</w:t>
            </w:r>
          </w:p>
          <w:p w14:paraId="418C553D" w14:textId="77777777" w:rsidR="00BF6F8A" w:rsidRPr="0078182B" w:rsidRDefault="00BF6F8A" w:rsidP="00BF6F8A">
            <w:pPr>
              <w:rPr>
                <w:lang w:eastAsia="en-GB"/>
              </w:rPr>
            </w:pPr>
          </w:p>
          <w:p w14:paraId="3FAEEEA9" w14:textId="77777777" w:rsidR="00BF6F8A" w:rsidRPr="0078182B" w:rsidRDefault="00BF6F8A" w:rsidP="00BF6F8A">
            <w:pPr>
              <w:rPr>
                <w:lang w:eastAsia="en-GB"/>
              </w:rPr>
            </w:pPr>
            <w:r w:rsidRPr="0078182B">
              <w:rPr>
                <w:lang w:eastAsia="en-GB"/>
              </w:rPr>
              <w:t xml:space="preserve">Personal Data is broadly defined as data from which a living individual can be identified or identifiable (by anyone), whether directly or indirectly, by all means reasonably liked to be used including names, location data and online identifiers. </w:t>
            </w:r>
          </w:p>
          <w:p w14:paraId="350699A5" w14:textId="77777777" w:rsidR="00BF6F8A" w:rsidRPr="0078182B" w:rsidRDefault="00BF6F8A" w:rsidP="00BF6F8A">
            <w:pPr>
              <w:rPr>
                <w:lang w:eastAsia="en-GB"/>
              </w:rPr>
            </w:pPr>
          </w:p>
          <w:p w14:paraId="59411705" w14:textId="77777777" w:rsidR="00BF6F8A" w:rsidRPr="0078182B" w:rsidRDefault="00BF6F8A" w:rsidP="00BF6F8A">
            <w:pPr>
              <w:rPr>
                <w:lang w:eastAsia="en-GB"/>
              </w:rPr>
            </w:pPr>
            <w:r w:rsidRPr="0078182B">
              <w:rPr>
                <w:lang w:eastAsia="en-GB"/>
              </w:rPr>
              <w:t>Special Categories of personal data (special measures have to be taken with Sensitive Data): racial or ethnic origin, political opinions, religious or philosophical beliefs, trade-union membership, health, sex life, genetic data or biometric data.</w:t>
            </w:r>
          </w:p>
          <w:p w14:paraId="311D10FB" w14:textId="77777777" w:rsidR="00BF6F8A" w:rsidRPr="0078182B" w:rsidRDefault="00BF6F8A" w:rsidP="00BF6F8A">
            <w:pPr>
              <w:rPr>
                <w:lang w:eastAsia="en-GB"/>
              </w:rPr>
            </w:pPr>
          </w:p>
        </w:tc>
        <w:tc>
          <w:tcPr>
            <w:tcW w:w="5245" w:type="dxa"/>
            <w:tcBorders>
              <w:top w:val="nil"/>
              <w:left w:val="nil"/>
              <w:bottom w:val="single" w:sz="4" w:space="0" w:color="auto"/>
              <w:right w:val="single" w:sz="4" w:space="0" w:color="auto"/>
            </w:tcBorders>
            <w:shd w:val="clear" w:color="auto" w:fill="auto"/>
            <w:noWrap/>
          </w:tcPr>
          <w:p w14:paraId="435B5C1E" w14:textId="77777777" w:rsidR="00BF6F8A" w:rsidRDefault="00BF6F8A" w:rsidP="00BF6F8A">
            <w:pPr>
              <w:autoSpaceDE w:val="0"/>
              <w:autoSpaceDN w:val="0"/>
              <w:adjustRightInd w:val="0"/>
              <w:jc w:val="both"/>
              <w:rPr>
                <w:rFonts w:cs="Arial"/>
              </w:rPr>
            </w:pPr>
            <w:r>
              <w:rPr>
                <w:rFonts w:cs="Arial"/>
              </w:rPr>
              <w:t>Standard personal data includes name, surname, id card number, social security number, pension number, date of birth, date of death, address, contact details, civil status.</w:t>
            </w:r>
          </w:p>
          <w:p w14:paraId="22E9C7E3" w14:textId="77777777" w:rsidR="00BF6F8A" w:rsidRDefault="00BF6F8A" w:rsidP="00BF6F8A">
            <w:pPr>
              <w:autoSpaceDE w:val="0"/>
              <w:autoSpaceDN w:val="0"/>
              <w:adjustRightInd w:val="0"/>
              <w:jc w:val="both"/>
              <w:rPr>
                <w:rFonts w:cs="Arial"/>
              </w:rPr>
            </w:pPr>
          </w:p>
          <w:p w14:paraId="0DC77459" w14:textId="7DA612E6" w:rsidR="00BF6F8A" w:rsidRPr="0078182B" w:rsidRDefault="00BF6F8A" w:rsidP="00BF6F8A">
            <w:pPr>
              <w:rPr>
                <w:lang w:eastAsia="en-GB"/>
              </w:rPr>
            </w:pPr>
            <w:r>
              <w:rPr>
                <w:rFonts w:cs="Arial"/>
              </w:rPr>
              <w:t>Sensitive personal data includes gender, relations, ended relations, medical conditions (high level description only), disability conditions, invalidity conditions, citizenship, residency, subsidiary protection, income details, income status, social assistance entitlements, financial income and means.</w:t>
            </w:r>
          </w:p>
        </w:tc>
      </w:tr>
      <w:tr w:rsidR="00BF6F8A" w:rsidRPr="0078182B" w14:paraId="7B0CD04E" w14:textId="77777777" w:rsidTr="00BC1A67">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D5AE535" w14:textId="77777777" w:rsidR="00BF6F8A" w:rsidRPr="0078182B" w:rsidRDefault="00BF6F8A" w:rsidP="00BF6F8A">
            <w:pPr>
              <w:rPr>
                <w:lang w:eastAsia="en-GB"/>
              </w:rPr>
            </w:pPr>
          </w:p>
          <w:p w14:paraId="53181771" w14:textId="77777777" w:rsidR="00BF6F8A" w:rsidRPr="0078182B" w:rsidRDefault="00BF6F8A" w:rsidP="00BF6F8A">
            <w:pPr>
              <w:rPr>
                <w:lang w:eastAsia="en-GB"/>
              </w:rPr>
            </w:pPr>
            <w:r w:rsidRPr="0078182B">
              <w:rPr>
                <w:lang w:eastAsia="en-GB"/>
              </w:rPr>
              <w:t>Categories of Data Subject</w:t>
            </w:r>
          </w:p>
          <w:p w14:paraId="5E48272F" w14:textId="77777777" w:rsidR="00BF6F8A" w:rsidRPr="0078182B" w:rsidRDefault="00BF6F8A" w:rsidP="00BF6F8A">
            <w:pPr>
              <w:rPr>
                <w:lang w:eastAsia="en-GB"/>
              </w:rPr>
            </w:pPr>
          </w:p>
          <w:p w14:paraId="11142DD0" w14:textId="77777777" w:rsidR="00BF6F8A" w:rsidRPr="0078182B" w:rsidRDefault="00BF6F8A" w:rsidP="00BF6F8A">
            <w:pPr>
              <w:rPr>
                <w:lang w:eastAsia="en-GB"/>
              </w:rPr>
            </w:pPr>
            <w:r w:rsidRPr="0078182B">
              <w:rPr>
                <w:lang w:eastAsia="en-GB"/>
              </w:rPr>
              <w:t>A Data subject is a natural person whose personal data is processed.  Categories may include: patients/employees/students/users etc.</w:t>
            </w:r>
          </w:p>
          <w:p w14:paraId="4E2E4214" w14:textId="77777777" w:rsidR="00BF6F8A" w:rsidRPr="0078182B" w:rsidRDefault="00BF6F8A" w:rsidP="00BF6F8A">
            <w:pPr>
              <w:rPr>
                <w:lang w:eastAsia="en-GB"/>
              </w:rPr>
            </w:pPr>
          </w:p>
        </w:tc>
        <w:tc>
          <w:tcPr>
            <w:tcW w:w="5245" w:type="dxa"/>
            <w:tcBorders>
              <w:top w:val="nil"/>
              <w:left w:val="nil"/>
              <w:bottom w:val="single" w:sz="4" w:space="0" w:color="auto"/>
              <w:right w:val="single" w:sz="4" w:space="0" w:color="auto"/>
            </w:tcBorders>
            <w:shd w:val="clear" w:color="auto" w:fill="auto"/>
            <w:noWrap/>
          </w:tcPr>
          <w:p w14:paraId="5FA9D7F9" w14:textId="77777777" w:rsidR="00BF6F8A" w:rsidRPr="0078182B" w:rsidRDefault="00BF6F8A" w:rsidP="00BF6F8A">
            <w:pPr>
              <w:autoSpaceDE w:val="0"/>
              <w:autoSpaceDN w:val="0"/>
              <w:adjustRightInd w:val="0"/>
              <w:jc w:val="both"/>
            </w:pPr>
          </w:p>
          <w:p w14:paraId="1FAE5799" w14:textId="77777777" w:rsidR="00BF6F8A" w:rsidRDefault="00BF6F8A" w:rsidP="00BF6F8A">
            <w:pPr>
              <w:autoSpaceDE w:val="0"/>
              <w:autoSpaceDN w:val="0"/>
              <w:adjustRightInd w:val="0"/>
              <w:jc w:val="both"/>
              <w:rPr>
                <w:rFonts w:cs="Arial"/>
              </w:rPr>
            </w:pPr>
            <w:r>
              <w:rPr>
                <w:rFonts w:cs="Arial"/>
              </w:rPr>
              <w:t xml:space="preserve">The system has a database that stores all Maltese citizens, including foreigners with interactions with the Social Security. </w:t>
            </w:r>
          </w:p>
          <w:p w14:paraId="7E633948" w14:textId="77777777" w:rsidR="00BF6F8A" w:rsidRDefault="00BF6F8A" w:rsidP="00BF6F8A">
            <w:pPr>
              <w:autoSpaceDE w:val="0"/>
              <w:autoSpaceDN w:val="0"/>
              <w:adjustRightInd w:val="0"/>
              <w:jc w:val="both"/>
              <w:rPr>
                <w:rFonts w:cs="Arial"/>
              </w:rPr>
            </w:pPr>
          </w:p>
          <w:p w14:paraId="5B0C1EF7" w14:textId="3F9981E8" w:rsidR="00BF6F8A" w:rsidRPr="0078182B" w:rsidRDefault="00BF6F8A" w:rsidP="00BF6F8A">
            <w:pPr>
              <w:autoSpaceDE w:val="0"/>
              <w:autoSpaceDN w:val="0"/>
              <w:adjustRightInd w:val="0"/>
              <w:jc w:val="both"/>
              <w:rPr>
                <w:lang w:eastAsia="en-GB"/>
              </w:rPr>
            </w:pPr>
            <w:r>
              <w:rPr>
                <w:rFonts w:cs="Arial"/>
              </w:rPr>
              <w:t xml:space="preserve">Categories include subjects from all strata of society but there is no categorisation in the system. All subjects in the system are treated as Social Security Beneficiaries, which could be pensioners, sick or invalid persons, unemployed persons, social cases, etc. Data Subjects can only be categorised under a specific heading according to the benefits received. </w:t>
            </w:r>
          </w:p>
        </w:tc>
      </w:tr>
      <w:tr w:rsidR="00BF6F8A" w:rsidRPr="0078182B" w14:paraId="54058533" w14:textId="77777777" w:rsidTr="00BC1A67">
        <w:trPr>
          <w:trHeight w:val="255"/>
        </w:trPr>
        <w:tc>
          <w:tcPr>
            <w:tcW w:w="4106" w:type="dxa"/>
            <w:tcBorders>
              <w:top w:val="nil"/>
              <w:left w:val="single" w:sz="4" w:space="0" w:color="auto"/>
              <w:bottom w:val="single" w:sz="4" w:space="0" w:color="auto"/>
              <w:right w:val="single" w:sz="4" w:space="0" w:color="auto"/>
            </w:tcBorders>
            <w:shd w:val="clear" w:color="auto" w:fill="auto"/>
            <w:noWrap/>
            <w:hideMark/>
          </w:tcPr>
          <w:p w14:paraId="35A033BA" w14:textId="77777777" w:rsidR="00BF6F8A" w:rsidRPr="0078182B" w:rsidRDefault="00BF6F8A" w:rsidP="00BF6F8A">
            <w:pPr>
              <w:rPr>
                <w:lang w:eastAsia="en-GB"/>
              </w:rPr>
            </w:pPr>
          </w:p>
          <w:p w14:paraId="5DED35EB" w14:textId="77777777" w:rsidR="00BF6F8A" w:rsidRPr="0078182B" w:rsidRDefault="00BF6F8A" w:rsidP="00BF6F8A">
            <w:pPr>
              <w:rPr>
                <w:lang w:eastAsia="en-GB"/>
              </w:rPr>
            </w:pPr>
            <w:r w:rsidRPr="0078182B">
              <w:rPr>
                <w:lang w:eastAsia="en-GB"/>
              </w:rPr>
              <w:t xml:space="preserve">Plan for return and destruction of the data once the processing is complete(please refer to article 9). </w:t>
            </w:r>
          </w:p>
          <w:p w14:paraId="703A5FEB" w14:textId="77777777" w:rsidR="00BF6F8A" w:rsidRPr="0078182B" w:rsidRDefault="00BF6F8A" w:rsidP="00BF6F8A">
            <w:pPr>
              <w:rPr>
                <w:lang w:eastAsia="en-GB"/>
              </w:rPr>
            </w:pPr>
          </w:p>
        </w:tc>
        <w:tc>
          <w:tcPr>
            <w:tcW w:w="5245" w:type="dxa"/>
            <w:tcBorders>
              <w:top w:val="nil"/>
              <w:left w:val="nil"/>
              <w:bottom w:val="single" w:sz="4" w:space="0" w:color="auto"/>
              <w:right w:val="single" w:sz="4" w:space="0" w:color="auto"/>
            </w:tcBorders>
            <w:shd w:val="clear" w:color="auto" w:fill="auto"/>
            <w:noWrap/>
          </w:tcPr>
          <w:p w14:paraId="0A7EBBA0" w14:textId="77777777" w:rsidR="00BF6F8A" w:rsidRPr="0078182B" w:rsidRDefault="00BF6F8A" w:rsidP="00BF6F8A">
            <w:pPr>
              <w:autoSpaceDE w:val="0"/>
              <w:autoSpaceDN w:val="0"/>
              <w:adjustRightInd w:val="0"/>
              <w:jc w:val="both"/>
            </w:pPr>
          </w:p>
          <w:p w14:paraId="4D019B5D" w14:textId="77777777" w:rsidR="00BF6F8A" w:rsidRDefault="00BF6F8A" w:rsidP="00BF6F8A">
            <w:pPr>
              <w:autoSpaceDE w:val="0"/>
              <w:autoSpaceDN w:val="0"/>
              <w:adjustRightInd w:val="0"/>
              <w:jc w:val="both"/>
              <w:rPr>
                <w:rFonts w:cs="Arial"/>
              </w:rPr>
            </w:pPr>
            <w:r>
              <w:rPr>
                <w:rFonts w:cs="Arial"/>
              </w:rPr>
              <w:t>No data is to be copied or extracted and stored by the Contractor.</w:t>
            </w:r>
          </w:p>
          <w:p w14:paraId="51B21939" w14:textId="77777777" w:rsidR="00BF6F8A" w:rsidRDefault="00BF6F8A" w:rsidP="00BF6F8A">
            <w:pPr>
              <w:autoSpaceDE w:val="0"/>
              <w:autoSpaceDN w:val="0"/>
              <w:adjustRightInd w:val="0"/>
              <w:jc w:val="both"/>
              <w:rPr>
                <w:rFonts w:cs="Arial"/>
              </w:rPr>
            </w:pPr>
          </w:p>
          <w:p w14:paraId="3D9D3BA2" w14:textId="387E82C3" w:rsidR="00BF6F8A" w:rsidRPr="0078182B" w:rsidRDefault="00BF6F8A" w:rsidP="00BF6F8A">
            <w:pPr>
              <w:autoSpaceDE w:val="0"/>
              <w:autoSpaceDN w:val="0"/>
              <w:adjustRightInd w:val="0"/>
              <w:jc w:val="both"/>
              <w:rPr>
                <w:highlight w:val="yellow"/>
                <w:lang w:eastAsia="en-GB"/>
              </w:rPr>
            </w:pPr>
            <w:r>
              <w:rPr>
                <w:rFonts w:cs="Arial"/>
              </w:rPr>
              <w:t>Extracts of any instances of samples of sanitised live data will be destroyed as soon as they are no longer required.</w:t>
            </w:r>
          </w:p>
        </w:tc>
      </w:tr>
    </w:tbl>
    <w:p w14:paraId="12F30068" w14:textId="139D8B78" w:rsidR="0078182B" w:rsidRDefault="0078182B" w:rsidP="007D7D53">
      <w:pPr>
        <w:rPr>
          <w:b/>
        </w:rPr>
      </w:pPr>
    </w:p>
    <w:p w14:paraId="59E6B6FD" w14:textId="77777777" w:rsidR="00BF6F8A" w:rsidRDefault="00BF6F8A" w:rsidP="00BF6F8A">
      <w:pPr>
        <w:rPr>
          <w:b/>
          <w:lang w:val="en-US"/>
        </w:rPr>
      </w:pPr>
    </w:p>
    <w:p w14:paraId="3DC109E0" w14:textId="77777777" w:rsidR="00BF6F8A" w:rsidRDefault="00BF6F8A" w:rsidP="00BF6F8A">
      <w:pPr>
        <w:rPr>
          <w:b/>
          <w:lang w:val="en-US"/>
        </w:rPr>
      </w:pPr>
    </w:p>
    <w:p w14:paraId="1400CE11" w14:textId="77777777" w:rsidR="00BF6F8A" w:rsidRDefault="00BF6F8A" w:rsidP="00BF6F8A">
      <w:pPr>
        <w:rPr>
          <w:b/>
          <w:lang w:val="en-US"/>
        </w:rPr>
      </w:pPr>
    </w:p>
    <w:p w14:paraId="32E0EC69" w14:textId="77777777" w:rsidR="00BF6F8A" w:rsidRDefault="00BF6F8A" w:rsidP="00BF6F8A">
      <w:pPr>
        <w:rPr>
          <w:b/>
          <w:lang w:val="en-US"/>
        </w:rPr>
      </w:pPr>
    </w:p>
    <w:p w14:paraId="433833E1" w14:textId="77777777" w:rsidR="00BF6F8A" w:rsidRDefault="00BF6F8A" w:rsidP="00BF6F8A">
      <w:pPr>
        <w:rPr>
          <w:b/>
          <w:lang w:val="en-US"/>
        </w:rPr>
      </w:pPr>
    </w:p>
    <w:p w14:paraId="37BF2767" w14:textId="77777777" w:rsidR="00BF6F8A" w:rsidRDefault="00BF6F8A" w:rsidP="00BF6F8A">
      <w:pPr>
        <w:rPr>
          <w:b/>
          <w:lang w:val="en-US"/>
        </w:rPr>
      </w:pPr>
    </w:p>
    <w:p w14:paraId="232B2FA3" w14:textId="77777777" w:rsidR="00BF6F8A" w:rsidRDefault="00BF6F8A" w:rsidP="00BF6F8A">
      <w:pPr>
        <w:rPr>
          <w:b/>
          <w:lang w:val="en-US"/>
        </w:rPr>
      </w:pPr>
    </w:p>
    <w:p w14:paraId="0B6ECE6C" w14:textId="77777777" w:rsidR="00BF6F8A" w:rsidRDefault="00BF6F8A" w:rsidP="00BF6F8A">
      <w:pPr>
        <w:rPr>
          <w:b/>
          <w:lang w:val="en-US"/>
        </w:rPr>
      </w:pPr>
    </w:p>
    <w:p w14:paraId="39A6A003" w14:textId="77777777" w:rsidR="00BF6F8A" w:rsidRDefault="00BF6F8A" w:rsidP="00BF6F8A">
      <w:pPr>
        <w:rPr>
          <w:b/>
          <w:lang w:val="en-US"/>
        </w:rPr>
      </w:pPr>
    </w:p>
    <w:p w14:paraId="0F943FE5" w14:textId="4E4EC95D" w:rsidR="00BF6F8A" w:rsidRDefault="00BF6F8A" w:rsidP="00BF6F8A">
      <w:pPr>
        <w:rPr>
          <w:b/>
          <w:lang w:val="en-US"/>
        </w:rPr>
      </w:pPr>
    </w:p>
    <w:p w14:paraId="3F8FCB07" w14:textId="77777777" w:rsidR="00F2552D" w:rsidRDefault="00F2552D" w:rsidP="00BF6F8A">
      <w:pPr>
        <w:rPr>
          <w:b/>
          <w:lang w:val="en-US"/>
        </w:rPr>
      </w:pPr>
    </w:p>
    <w:p w14:paraId="0D9BA74C" w14:textId="22E3078C" w:rsidR="00BF6F8A" w:rsidRPr="00BF6F8A" w:rsidRDefault="00BF6F8A" w:rsidP="00BF6F8A">
      <w:pPr>
        <w:rPr>
          <w:b/>
          <w:lang w:val="en-US"/>
        </w:rPr>
      </w:pPr>
      <w:r w:rsidRPr="00BF6F8A">
        <w:rPr>
          <w:b/>
          <w:lang w:val="en-US"/>
        </w:rPr>
        <w:lastRenderedPageBreak/>
        <w:t xml:space="preserve">Annex </w:t>
      </w:r>
      <w:r>
        <w:rPr>
          <w:b/>
          <w:lang w:val="en-US"/>
        </w:rPr>
        <w:t>II</w:t>
      </w:r>
      <w:r w:rsidRPr="00BF6F8A">
        <w:rPr>
          <w:b/>
          <w:lang w:val="en-US"/>
        </w:rPr>
        <w:t xml:space="preserve">: Purposes for which the Data Processor may process Personal Data </w:t>
      </w:r>
      <w:r>
        <w:rPr>
          <w:b/>
          <w:lang w:val="en-US"/>
        </w:rPr>
        <w:t>(</w:t>
      </w:r>
      <w:r w:rsidRPr="00BF6F8A">
        <w:rPr>
          <w:b/>
          <w:lang w:val="en-US"/>
        </w:rPr>
        <w:t>Taxation System</w:t>
      </w:r>
      <w:r>
        <w:rPr>
          <w:b/>
          <w:lang w:val="en-US"/>
        </w:rPr>
        <w:t>)</w:t>
      </w:r>
    </w:p>
    <w:p w14:paraId="276DCCCD" w14:textId="77777777" w:rsidR="00BF6F8A" w:rsidRPr="00CD76B9" w:rsidRDefault="00BF6F8A" w:rsidP="00BF6F8A"/>
    <w:tbl>
      <w:tblPr>
        <w:tblW w:w="9391" w:type="dxa"/>
        <w:tblLook w:val="04A0" w:firstRow="1" w:lastRow="0" w:firstColumn="1" w:lastColumn="0" w:noHBand="0" w:noVBand="1"/>
      </w:tblPr>
      <w:tblGrid>
        <w:gridCol w:w="3681"/>
        <w:gridCol w:w="5710"/>
      </w:tblGrid>
      <w:tr w:rsidR="00BF6F8A" w:rsidRPr="00973730" w14:paraId="32B60307" w14:textId="77777777" w:rsidTr="00A40D57">
        <w:trPr>
          <w:trHeight w:val="255"/>
        </w:trPr>
        <w:tc>
          <w:tcPr>
            <w:tcW w:w="368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A56A52C" w14:textId="77777777" w:rsidR="00BF6F8A" w:rsidRPr="00CD76B9" w:rsidRDefault="00BF6F8A" w:rsidP="00A40D57">
            <w:pPr>
              <w:rPr>
                <w:lang w:eastAsia="en-GB"/>
              </w:rPr>
            </w:pPr>
            <w:r w:rsidRPr="00CD76B9">
              <w:rPr>
                <w:lang w:eastAsia="en-GB"/>
              </w:rPr>
              <w:t>Description</w:t>
            </w:r>
          </w:p>
        </w:tc>
        <w:tc>
          <w:tcPr>
            <w:tcW w:w="571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290B5484" w14:textId="77777777" w:rsidR="00BF6F8A" w:rsidRPr="00CD76B9" w:rsidRDefault="00BF6F8A" w:rsidP="00A40D57">
            <w:pPr>
              <w:rPr>
                <w:lang w:eastAsia="en-GB"/>
              </w:rPr>
            </w:pPr>
            <w:r w:rsidRPr="00CD76B9">
              <w:rPr>
                <w:lang w:eastAsia="en-GB"/>
              </w:rPr>
              <w:t>Details</w:t>
            </w:r>
          </w:p>
        </w:tc>
      </w:tr>
      <w:tr w:rsidR="00BF6F8A" w:rsidRPr="00973730" w14:paraId="73977B36" w14:textId="77777777" w:rsidTr="00A40D57">
        <w:trPr>
          <w:trHeight w:val="897"/>
        </w:trPr>
        <w:tc>
          <w:tcPr>
            <w:tcW w:w="3681" w:type="dxa"/>
            <w:tcBorders>
              <w:top w:val="nil"/>
              <w:left w:val="single" w:sz="4" w:space="0" w:color="auto"/>
              <w:bottom w:val="single" w:sz="4" w:space="0" w:color="auto"/>
              <w:right w:val="single" w:sz="4" w:space="0" w:color="auto"/>
            </w:tcBorders>
            <w:shd w:val="clear" w:color="auto" w:fill="auto"/>
            <w:noWrap/>
            <w:hideMark/>
          </w:tcPr>
          <w:p w14:paraId="0B9EEA6E" w14:textId="77777777" w:rsidR="00BF6F8A" w:rsidRPr="00CD76B9" w:rsidRDefault="00BF6F8A" w:rsidP="00A40D57">
            <w:pPr>
              <w:rPr>
                <w:lang w:eastAsia="en-GB"/>
              </w:rPr>
            </w:pPr>
            <w:r w:rsidRPr="00CD76B9">
              <w:rPr>
                <w:lang w:eastAsia="en-GB"/>
              </w:rPr>
              <w:t xml:space="preserve">Subject matter of the processing </w:t>
            </w:r>
          </w:p>
          <w:p w14:paraId="6A942AFE" w14:textId="77777777" w:rsidR="00BF6F8A" w:rsidRPr="00CD76B9" w:rsidRDefault="00BF6F8A" w:rsidP="00A40D57">
            <w:pPr>
              <w:rPr>
                <w:lang w:eastAsia="en-GB"/>
              </w:rPr>
            </w:pPr>
          </w:p>
        </w:tc>
        <w:tc>
          <w:tcPr>
            <w:tcW w:w="5710" w:type="dxa"/>
            <w:tcBorders>
              <w:top w:val="nil"/>
              <w:left w:val="nil"/>
              <w:bottom w:val="single" w:sz="4" w:space="0" w:color="auto"/>
              <w:right w:val="single" w:sz="4" w:space="0" w:color="auto"/>
            </w:tcBorders>
            <w:shd w:val="clear" w:color="auto" w:fill="auto"/>
            <w:noWrap/>
          </w:tcPr>
          <w:p w14:paraId="5142327B" w14:textId="77777777" w:rsidR="00BF6F8A" w:rsidRPr="00CD76B9" w:rsidRDefault="00BF6F8A" w:rsidP="00A40D57">
            <w:pPr>
              <w:jc w:val="both"/>
              <w:rPr>
                <w:lang w:eastAsia="en-GB"/>
              </w:rPr>
            </w:pPr>
            <w:r w:rsidRPr="00CD76B9">
              <w:t xml:space="preserve">Contractor is to provide the Services as detailed in this Contract in relation to Taxation.  </w:t>
            </w:r>
          </w:p>
        </w:tc>
      </w:tr>
      <w:tr w:rsidR="00BF6F8A" w:rsidRPr="00973730" w14:paraId="6F3B22D4" w14:textId="77777777" w:rsidTr="00A40D57">
        <w:trPr>
          <w:trHeight w:val="391"/>
        </w:trPr>
        <w:tc>
          <w:tcPr>
            <w:tcW w:w="3681" w:type="dxa"/>
            <w:tcBorders>
              <w:top w:val="nil"/>
              <w:left w:val="single" w:sz="4" w:space="0" w:color="auto"/>
              <w:bottom w:val="single" w:sz="4" w:space="0" w:color="auto"/>
              <w:right w:val="single" w:sz="4" w:space="0" w:color="auto"/>
            </w:tcBorders>
            <w:shd w:val="clear" w:color="auto" w:fill="auto"/>
            <w:noWrap/>
            <w:hideMark/>
          </w:tcPr>
          <w:p w14:paraId="155EC15A" w14:textId="77777777" w:rsidR="00BF6F8A" w:rsidRPr="00CD76B9" w:rsidRDefault="00BF6F8A" w:rsidP="00A40D57">
            <w:pPr>
              <w:rPr>
                <w:lang w:eastAsia="en-GB"/>
              </w:rPr>
            </w:pPr>
            <w:r w:rsidRPr="00CD76B9">
              <w:rPr>
                <w:lang w:eastAsia="en-GB"/>
              </w:rPr>
              <w:t xml:space="preserve">Duration of the processing </w:t>
            </w:r>
          </w:p>
          <w:p w14:paraId="6F2C618D" w14:textId="77777777" w:rsidR="00BF6F8A" w:rsidRPr="00CD76B9" w:rsidRDefault="00BF6F8A" w:rsidP="00A40D57">
            <w:pPr>
              <w:rPr>
                <w:lang w:eastAsia="en-GB"/>
              </w:rPr>
            </w:pPr>
          </w:p>
        </w:tc>
        <w:tc>
          <w:tcPr>
            <w:tcW w:w="5710" w:type="dxa"/>
            <w:tcBorders>
              <w:top w:val="nil"/>
              <w:left w:val="nil"/>
              <w:bottom w:val="single" w:sz="4" w:space="0" w:color="auto"/>
              <w:right w:val="single" w:sz="4" w:space="0" w:color="auto"/>
            </w:tcBorders>
            <w:shd w:val="clear" w:color="auto" w:fill="auto"/>
            <w:noWrap/>
          </w:tcPr>
          <w:p w14:paraId="14A73F7C" w14:textId="77777777" w:rsidR="00BF6F8A" w:rsidRPr="00CD76B9" w:rsidRDefault="00BF6F8A" w:rsidP="00A40D57">
            <w:pPr>
              <w:jc w:val="both"/>
              <w:rPr>
                <w:lang w:eastAsia="en-GB"/>
              </w:rPr>
            </w:pPr>
            <w:r w:rsidRPr="00CD76B9">
              <w:t xml:space="preserve">Throughout the Term of the Contract. </w:t>
            </w:r>
          </w:p>
        </w:tc>
      </w:tr>
      <w:tr w:rsidR="00BF6F8A" w:rsidRPr="00973730" w14:paraId="0983E48A" w14:textId="77777777" w:rsidTr="00A40D57">
        <w:trPr>
          <w:trHeight w:val="2374"/>
        </w:trPr>
        <w:tc>
          <w:tcPr>
            <w:tcW w:w="3681" w:type="dxa"/>
            <w:tcBorders>
              <w:top w:val="nil"/>
              <w:left w:val="single" w:sz="4" w:space="0" w:color="auto"/>
              <w:bottom w:val="single" w:sz="4" w:space="0" w:color="auto"/>
              <w:right w:val="single" w:sz="4" w:space="0" w:color="auto"/>
            </w:tcBorders>
            <w:shd w:val="clear" w:color="auto" w:fill="auto"/>
            <w:noWrap/>
            <w:hideMark/>
          </w:tcPr>
          <w:p w14:paraId="4AB4145A" w14:textId="77777777" w:rsidR="00BF6F8A" w:rsidRPr="00CD76B9" w:rsidRDefault="00BF6F8A" w:rsidP="00A40D57">
            <w:pPr>
              <w:rPr>
                <w:lang w:eastAsia="en-GB"/>
              </w:rPr>
            </w:pPr>
            <w:r w:rsidRPr="00CD76B9">
              <w:rPr>
                <w:lang w:eastAsia="en-GB"/>
              </w:rPr>
              <w:t>Nature and purposes of the processing</w:t>
            </w:r>
          </w:p>
          <w:p w14:paraId="797DABEA" w14:textId="77777777" w:rsidR="00BF6F8A" w:rsidRPr="00CD76B9" w:rsidRDefault="00BF6F8A" w:rsidP="00A40D57">
            <w:pPr>
              <w:rPr>
                <w:lang w:eastAsia="en-GB"/>
              </w:rPr>
            </w:pPr>
          </w:p>
          <w:p w14:paraId="65392D70" w14:textId="77777777" w:rsidR="00BF6F8A" w:rsidRPr="00CD76B9" w:rsidRDefault="00BF6F8A" w:rsidP="00A40D57">
            <w:pPr>
              <w:jc w:val="both"/>
              <w:rPr>
                <w:lang w:eastAsia="en-GB"/>
              </w:rPr>
            </w:pPr>
          </w:p>
        </w:tc>
        <w:tc>
          <w:tcPr>
            <w:tcW w:w="5710" w:type="dxa"/>
            <w:tcBorders>
              <w:top w:val="nil"/>
              <w:left w:val="nil"/>
              <w:bottom w:val="single" w:sz="4" w:space="0" w:color="auto"/>
              <w:right w:val="single" w:sz="4" w:space="0" w:color="auto"/>
            </w:tcBorders>
            <w:shd w:val="clear" w:color="auto" w:fill="auto"/>
            <w:noWrap/>
          </w:tcPr>
          <w:p w14:paraId="5D90FE39" w14:textId="77777777" w:rsidR="00BF6F8A" w:rsidRPr="00CD76B9" w:rsidRDefault="00BF6F8A" w:rsidP="00A40D57">
            <w:pPr>
              <w:jc w:val="both"/>
              <w:rPr>
                <w:lang w:eastAsia="en-GB"/>
              </w:rPr>
            </w:pPr>
            <w:r w:rsidRPr="00CD76B9">
              <w:rPr>
                <w:lang w:eastAsia="en-GB"/>
              </w:rPr>
              <w:t>The purpose of this contract is to modernise the core Taxation system. During the execution of this contract, the current system will be technically analysed, and new modernised components will be developed and implemented.</w:t>
            </w:r>
          </w:p>
          <w:p w14:paraId="1E75B710" w14:textId="77777777" w:rsidR="00BF6F8A" w:rsidRPr="00CD76B9" w:rsidRDefault="00BF6F8A" w:rsidP="00A40D57">
            <w:pPr>
              <w:jc w:val="both"/>
              <w:rPr>
                <w:lang w:eastAsia="en-GB"/>
              </w:rPr>
            </w:pPr>
          </w:p>
          <w:p w14:paraId="24FC98F0" w14:textId="77777777" w:rsidR="00BF6F8A" w:rsidRPr="00CD76B9" w:rsidRDefault="00BF6F8A" w:rsidP="00A40D57">
            <w:pPr>
              <w:jc w:val="both"/>
              <w:rPr>
                <w:lang w:eastAsia="en-GB"/>
              </w:rPr>
            </w:pPr>
            <w:r w:rsidRPr="00CD76B9">
              <w:rPr>
                <w:lang w:eastAsia="en-GB"/>
              </w:rPr>
              <w:t>All the necessary technical measures have been taken to sanitise the data, however there may be exceptional instances during this project where live data may be accessed to understand specific scenarios and to perform simulation runs.</w:t>
            </w:r>
          </w:p>
        </w:tc>
      </w:tr>
      <w:tr w:rsidR="00BF6F8A" w:rsidRPr="00973730" w14:paraId="75683248" w14:textId="77777777" w:rsidTr="00A40D57">
        <w:trPr>
          <w:trHeight w:val="1585"/>
        </w:trPr>
        <w:tc>
          <w:tcPr>
            <w:tcW w:w="3681" w:type="dxa"/>
            <w:tcBorders>
              <w:top w:val="nil"/>
              <w:left w:val="single" w:sz="4" w:space="0" w:color="auto"/>
              <w:bottom w:val="single" w:sz="4" w:space="0" w:color="auto"/>
              <w:right w:val="single" w:sz="4" w:space="0" w:color="auto"/>
            </w:tcBorders>
            <w:shd w:val="clear" w:color="auto" w:fill="auto"/>
            <w:noWrap/>
            <w:hideMark/>
          </w:tcPr>
          <w:p w14:paraId="23E34233" w14:textId="77777777" w:rsidR="00BF6F8A" w:rsidRPr="00CD76B9" w:rsidRDefault="00BF6F8A" w:rsidP="00A40D57">
            <w:pPr>
              <w:rPr>
                <w:lang w:eastAsia="en-GB"/>
              </w:rPr>
            </w:pPr>
            <w:r w:rsidRPr="00CD76B9">
              <w:rPr>
                <w:lang w:eastAsia="en-GB"/>
              </w:rPr>
              <w:t>Type of Personal Data</w:t>
            </w:r>
          </w:p>
          <w:p w14:paraId="606F5D9E" w14:textId="77777777" w:rsidR="00BF6F8A" w:rsidRPr="00CD76B9" w:rsidRDefault="00BF6F8A" w:rsidP="00A40D57">
            <w:pPr>
              <w:rPr>
                <w:lang w:eastAsia="en-GB"/>
              </w:rPr>
            </w:pPr>
          </w:p>
          <w:p w14:paraId="2B674DFE" w14:textId="77777777" w:rsidR="00BF6F8A" w:rsidRPr="00CD76B9" w:rsidRDefault="00BF6F8A" w:rsidP="00A40D57">
            <w:pPr>
              <w:jc w:val="both"/>
              <w:rPr>
                <w:lang w:eastAsia="en-GB"/>
              </w:rPr>
            </w:pPr>
          </w:p>
        </w:tc>
        <w:tc>
          <w:tcPr>
            <w:tcW w:w="5710" w:type="dxa"/>
            <w:tcBorders>
              <w:top w:val="nil"/>
              <w:left w:val="nil"/>
              <w:bottom w:val="single" w:sz="4" w:space="0" w:color="auto"/>
              <w:right w:val="single" w:sz="4" w:space="0" w:color="auto"/>
            </w:tcBorders>
            <w:shd w:val="clear" w:color="auto" w:fill="auto"/>
            <w:noWrap/>
          </w:tcPr>
          <w:p w14:paraId="3527C9B6" w14:textId="77777777" w:rsidR="00BF6F8A" w:rsidRPr="00CD76B9" w:rsidRDefault="00BF6F8A" w:rsidP="00A40D57">
            <w:pPr>
              <w:jc w:val="both"/>
              <w:rPr>
                <w:lang w:eastAsia="en-GB"/>
              </w:rPr>
            </w:pPr>
            <w:r w:rsidRPr="00CD76B9">
              <w:rPr>
                <w:lang w:eastAsia="en-GB"/>
              </w:rPr>
              <w:t>Standard personal data includes name, surname, ID card number, Social Security Number, Date of Birth, Date of Death, mailing address, contact details, and civil status.</w:t>
            </w:r>
          </w:p>
          <w:p w14:paraId="52722D0C" w14:textId="77777777" w:rsidR="00BF6F8A" w:rsidRPr="00CD76B9" w:rsidRDefault="00BF6F8A" w:rsidP="00A40D57">
            <w:pPr>
              <w:jc w:val="both"/>
              <w:rPr>
                <w:lang w:eastAsia="en-GB"/>
              </w:rPr>
            </w:pPr>
          </w:p>
          <w:p w14:paraId="01370EB6" w14:textId="77777777" w:rsidR="00BF6F8A" w:rsidRPr="00CD76B9" w:rsidRDefault="00BF6F8A" w:rsidP="00A40D57">
            <w:pPr>
              <w:jc w:val="both"/>
              <w:rPr>
                <w:lang w:eastAsia="en-GB"/>
              </w:rPr>
            </w:pPr>
            <w:r w:rsidRPr="00CD76B9">
              <w:rPr>
                <w:lang w:eastAsia="en-GB"/>
              </w:rPr>
              <w:t>Sensitive personal data includes gender, relations, ended relations, citizenship, financial and tax details</w:t>
            </w:r>
          </w:p>
          <w:p w14:paraId="383C1E6E" w14:textId="77777777" w:rsidR="00BF6F8A" w:rsidRPr="00CD76B9" w:rsidRDefault="00BF6F8A" w:rsidP="00A40D57">
            <w:pPr>
              <w:jc w:val="both"/>
              <w:rPr>
                <w:lang w:eastAsia="en-GB"/>
              </w:rPr>
            </w:pPr>
          </w:p>
        </w:tc>
      </w:tr>
      <w:tr w:rsidR="00BF6F8A" w:rsidRPr="00973730" w14:paraId="1A9AB16A" w14:textId="77777777" w:rsidTr="00A40D57">
        <w:trPr>
          <w:trHeight w:val="3064"/>
        </w:trPr>
        <w:tc>
          <w:tcPr>
            <w:tcW w:w="3681" w:type="dxa"/>
            <w:tcBorders>
              <w:top w:val="nil"/>
              <w:left w:val="single" w:sz="4" w:space="0" w:color="auto"/>
              <w:bottom w:val="single" w:sz="4" w:space="0" w:color="auto"/>
              <w:right w:val="single" w:sz="4" w:space="0" w:color="auto"/>
            </w:tcBorders>
            <w:shd w:val="clear" w:color="auto" w:fill="auto"/>
            <w:noWrap/>
            <w:hideMark/>
          </w:tcPr>
          <w:p w14:paraId="395DF509" w14:textId="77777777" w:rsidR="00BF6F8A" w:rsidRPr="00CD76B9" w:rsidRDefault="00BF6F8A" w:rsidP="00A40D57">
            <w:pPr>
              <w:rPr>
                <w:lang w:eastAsia="en-GB"/>
              </w:rPr>
            </w:pPr>
            <w:r w:rsidRPr="00CD76B9">
              <w:rPr>
                <w:lang w:eastAsia="en-GB"/>
              </w:rPr>
              <w:t>Categories of Data Subject</w:t>
            </w:r>
          </w:p>
          <w:p w14:paraId="648E1DEE" w14:textId="77777777" w:rsidR="00BF6F8A" w:rsidRPr="00CD76B9" w:rsidRDefault="00BF6F8A" w:rsidP="00A40D57">
            <w:pPr>
              <w:rPr>
                <w:lang w:eastAsia="en-GB"/>
              </w:rPr>
            </w:pPr>
          </w:p>
        </w:tc>
        <w:tc>
          <w:tcPr>
            <w:tcW w:w="5710" w:type="dxa"/>
            <w:tcBorders>
              <w:top w:val="nil"/>
              <w:left w:val="nil"/>
              <w:bottom w:val="single" w:sz="4" w:space="0" w:color="auto"/>
              <w:right w:val="single" w:sz="4" w:space="0" w:color="auto"/>
            </w:tcBorders>
            <w:shd w:val="clear" w:color="auto" w:fill="auto"/>
            <w:noWrap/>
          </w:tcPr>
          <w:p w14:paraId="3B1F0E20" w14:textId="77777777" w:rsidR="00BF6F8A" w:rsidRPr="00CD76B9" w:rsidRDefault="00BF6F8A" w:rsidP="00A40D57">
            <w:pPr>
              <w:autoSpaceDE w:val="0"/>
              <w:autoSpaceDN w:val="0"/>
              <w:spacing w:line="252" w:lineRule="auto"/>
              <w:jc w:val="both"/>
              <w:rPr>
                <w:lang w:eastAsia="en-GB"/>
              </w:rPr>
            </w:pPr>
            <w:r w:rsidRPr="00CD76B9">
              <w:rPr>
                <w:lang w:eastAsia="en-GB"/>
              </w:rPr>
              <w:t xml:space="preserve">The taxation system contains information required related to the administration of various tax legislations including the Income Tax Act, Income Tax Management Act, the Capital Transfer Duty Act, VAT and ECO Acts. </w:t>
            </w:r>
          </w:p>
          <w:p w14:paraId="316DB339" w14:textId="77777777" w:rsidR="00BF6F8A" w:rsidRPr="00CD76B9" w:rsidRDefault="00BF6F8A" w:rsidP="00A40D57">
            <w:pPr>
              <w:autoSpaceDE w:val="0"/>
              <w:autoSpaceDN w:val="0"/>
              <w:spacing w:line="252" w:lineRule="auto"/>
              <w:jc w:val="both"/>
              <w:rPr>
                <w:lang w:eastAsia="en-GB"/>
              </w:rPr>
            </w:pPr>
          </w:p>
          <w:p w14:paraId="58816421" w14:textId="77777777" w:rsidR="00BF6F8A" w:rsidRPr="00CD76B9" w:rsidRDefault="00BF6F8A" w:rsidP="00A40D57">
            <w:pPr>
              <w:autoSpaceDE w:val="0"/>
              <w:autoSpaceDN w:val="0"/>
              <w:spacing w:line="252" w:lineRule="auto"/>
              <w:jc w:val="both"/>
              <w:rPr>
                <w:lang w:eastAsia="en-GB"/>
              </w:rPr>
            </w:pPr>
            <w:r w:rsidRPr="00CD76B9">
              <w:rPr>
                <w:lang w:eastAsia="en-GB"/>
              </w:rPr>
              <w:t xml:space="preserve">It contains information on natural Maltese nationals and foreign persons. </w:t>
            </w:r>
          </w:p>
          <w:p w14:paraId="76EB1855" w14:textId="77777777" w:rsidR="00BF6F8A" w:rsidRPr="00CD76B9" w:rsidRDefault="00BF6F8A" w:rsidP="00A40D57">
            <w:pPr>
              <w:autoSpaceDE w:val="0"/>
              <w:autoSpaceDN w:val="0"/>
              <w:spacing w:line="252" w:lineRule="auto"/>
              <w:jc w:val="both"/>
              <w:rPr>
                <w:lang w:eastAsia="en-GB"/>
              </w:rPr>
            </w:pPr>
          </w:p>
          <w:p w14:paraId="3411669F" w14:textId="77777777" w:rsidR="00BF6F8A" w:rsidRPr="00CD76B9" w:rsidRDefault="00BF6F8A" w:rsidP="00A40D57">
            <w:pPr>
              <w:jc w:val="both"/>
              <w:rPr>
                <w:lang w:eastAsia="en-GB"/>
              </w:rPr>
            </w:pPr>
            <w:r w:rsidRPr="00CD76B9">
              <w:rPr>
                <w:lang w:eastAsia="en-GB"/>
              </w:rPr>
              <w:t>All subjects in the system are categorised as taxpayers. Taxpayers can be employees, self-employed, employers, self-occupied, pensioners, students, and foreign persons registered under special tax scheme.</w:t>
            </w:r>
          </w:p>
        </w:tc>
      </w:tr>
      <w:tr w:rsidR="00BF6F8A" w:rsidRPr="00973730" w14:paraId="46B92F4D" w14:textId="77777777" w:rsidTr="00A40D57">
        <w:trPr>
          <w:trHeight w:val="1549"/>
        </w:trPr>
        <w:tc>
          <w:tcPr>
            <w:tcW w:w="3681" w:type="dxa"/>
            <w:tcBorders>
              <w:top w:val="nil"/>
              <w:left w:val="single" w:sz="4" w:space="0" w:color="auto"/>
              <w:bottom w:val="single" w:sz="4" w:space="0" w:color="auto"/>
              <w:right w:val="single" w:sz="4" w:space="0" w:color="auto"/>
            </w:tcBorders>
            <w:shd w:val="clear" w:color="auto" w:fill="auto"/>
            <w:noWrap/>
            <w:hideMark/>
          </w:tcPr>
          <w:p w14:paraId="3B94E635" w14:textId="77777777" w:rsidR="00BF6F8A" w:rsidRPr="00973730" w:rsidRDefault="00BF6F8A" w:rsidP="00A40D57">
            <w:pPr>
              <w:rPr>
                <w:lang w:eastAsia="en-GB"/>
              </w:rPr>
            </w:pPr>
            <w:r w:rsidRPr="00973730">
              <w:rPr>
                <w:lang w:eastAsia="en-GB"/>
              </w:rPr>
              <w:t xml:space="preserve">Plan for return and destruction of the data once the processing is complete </w:t>
            </w:r>
          </w:p>
        </w:tc>
        <w:tc>
          <w:tcPr>
            <w:tcW w:w="5710" w:type="dxa"/>
            <w:tcBorders>
              <w:top w:val="nil"/>
              <w:left w:val="nil"/>
              <w:bottom w:val="single" w:sz="4" w:space="0" w:color="auto"/>
              <w:right w:val="single" w:sz="4" w:space="0" w:color="auto"/>
            </w:tcBorders>
            <w:shd w:val="clear" w:color="auto" w:fill="auto"/>
            <w:noWrap/>
          </w:tcPr>
          <w:p w14:paraId="5A5049A8" w14:textId="77777777" w:rsidR="00BF6F8A" w:rsidRPr="00973730" w:rsidRDefault="00BF6F8A" w:rsidP="00A40D57">
            <w:pPr>
              <w:autoSpaceDE w:val="0"/>
              <w:autoSpaceDN w:val="0"/>
              <w:adjustRightInd w:val="0"/>
              <w:jc w:val="both"/>
            </w:pPr>
            <w:r w:rsidRPr="00973730">
              <w:t xml:space="preserve">No data is to be copied or extracted and stored by the Contractor. </w:t>
            </w:r>
          </w:p>
          <w:p w14:paraId="55269A08" w14:textId="77777777" w:rsidR="00BF6F8A" w:rsidRPr="00973730" w:rsidRDefault="00BF6F8A" w:rsidP="00A40D57">
            <w:pPr>
              <w:autoSpaceDE w:val="0"/>
              <w:autoSpaceDN w:val="0"/>
              <w:spacing w:line="252" w:lineRule="auto"/>
              <w:jc w:val="both"/>
              <w:rPr>
                <w:lang w:eastAsia="en-GB"/>
              </w:rPr>
            </w:pPr>
          </w:p>
          <w:p w14:paraId="44F0033E" w14:textId="77777777" w:rsidR="00BF6F8A" w:rsidRPr="00973730" w:rsidRDefault="00BF6F8A" w:rsidP="00A40D57">
            <w:pPr>
              <w:autoSpaceDE w:val="0"/>
              <w:autoSpaceDN w:val="0"/>
              <w:spacing w:line="252" w:lineRule="auto"/>
              <w:jc w:val="both"/>
              <w:rPr>
                <w:lang w:eastAsia="en-GB"/>
              </w:rPr>
            </w:pPr>
            <w:r w:rsidRPr="00973730">
              <w:rPr>
                <w:lang w:eastAsia="en-GB"/>
              </w:rPr>
              <w:t>Extracts of any instances of samples of sanitised live data will be destroyed as soon as they are no longer required.</w:t>
            </w:r>
          </w:p>
        </w:tc>
      </w:tr>
    </w:tbl>
    <w:p w14:paraId="49586547" w14:textId="77777777" w:rsidR="00BF6F8A" w:rsidRPr="00973730" w:rsidRDefault="00BF6F8A" w:rsidP="00BF6F8A"/>
    <w:p w14:paraId="1DFC24B5" w14:textId="77777777" w:rsidR="00BF6F8A" w:rsidRDefault="00BF6F8A" w:rsidP="007D7D53">
      <w:pPr>
        <w:rPr>
          <w:b/>
        </w:rPr>
      </w:pPr>
    </w:p>
    <w:p w14:paraId="729D40F0" w14:textId="15D13170" w:rsidR="0078182B" w:rsidRDefault="0078182B" w:rsidP="007D7D53">
      <w:pPr>
        <w:rPr>
          <w:b/>
        </w:rPr>
      </w:pPr>
    </w:p>
    <w:p w14:paraId="15624352" w14:textId="75BD6C04" w:rsidR="0078182B" w:rsidRDefault="0078182B" w:rsidP="007D7D53">
      <w:pPr>
        <w:rPr>
          <w:b/>
        </w:rPr>
      </w:pPr>
    </w:p>
    <w:p w14:paraId="551FDDC3" w14:textId="77777777" w:rsidR="00BB5361" w:rsidRPr="002E497A" w:rsidRDefault="00BB5361" w:rsidP="00BB5361">
      <w:pPr>
        <w:spacing w:before="120"/>
        <w:rPr>
          <w:lang w:val="en-US"/>
        </w:rPr>
      </w:pPr>
    </w:p>
    <w:p w14:paraId="3C603A8A" w14:textId="63F384DC" w:rsidR="00686FBF" w:rsidRDefault="00686FBF" w:rsidP="00686FBF">
      <w:pPr>
        <w:jc w:val="both"/>
        <w:rPr>
          <w:b/>
        </w:rPr>
      </w:pPr>
      <w:r w:rsidRPr="007D7D53">
        <w:rPr>
          <w:b/>
          <w:lang w:val="en-US"/>
        </w:rPr>
        <w:lastRenderedPageBreak/>
        <w:t xml:space="preserve">ANNEX </w:t>
      </w:r>
      <w:r>
        <w:rPr>
          <w:b/>
          <w:lang w:val="en-US"/>
        </w:rPr>
        <w:t>II</w:t>
      </w:r>
      <w:r w:rsidR="00BF6F8A">
        <w:rPr>
          <w:b/>
          <w:lang w:val="en-US"/>
        </w:rPr>
        <w:t>I</w:t>
      </w:r>
      <w:r w:rsidRPr="007D7D53">
        <w:rPr>
          <w:b/>
          <w:lang w:val="en-US"/>
        </w:rPr>
        <w:t xml:space="preserve"> – </w:t>
      </w:r>
      <w:r w:rsidR="009B11D4">
        <w:rPr>
          <w:b/>
        </w:rPr>
        <w:t>Li</w:t>
      </w:r>
      <w:r>
        <w:rPr>
          <w:b/>
        </w:rPr>
        <w:t xml:space="preserve">st of authorised </w:t>
      </w:r>
      <w:r w:rsidR="009B11D4">
        <w:rPr>
          <w:b/>
        </w:rPr>
        <w:t>S</w:t>
      </w:r>
      <w:r>
        <w:rPr>
          <w:b/>
        </w:rPr>
        <w:t>ubcontractors</w:t>
      </w:r>
    </w:p>
    <w:p w14:paraId="7696BBE6" w14:textId="6A0FFE6E" w:rsidR="00BB5361" w:rsidRPr="00BA3985" w:rsidRDefault="00BB5361" w:rsidP="00BB5361">
      <w:pPr>
        <w:spacing w:before="120"/>
        <w:rPr>
          <w:lang w:val="en-US"/>
        </w:rPr>
      </w:pPr>
      <w:r w:rsidRPr="00BA3985">
        <w:rPr>
          <w:lang w:val="en-US"/>
        </w:rPr>
        <w:t xml:space="preserve">The parties have agreed that the following </w:t>
      </w:r>
      <w:r w:rsidR="001B43F3">
        <w:rPr>
          <w:lang w:val="en-US"/>
        </w:rPr>
        <w:t>subc</w:t>
      </w:r>
      <w:r w:rsidR="00AA296F">
        <w:rPr>
          <w:lang w:val="en-US"/>
        </w:rPr>
        <w:t>ontractors</w:t>
      </w:r>
      <w:r w:rsidRPr="00BA3985">
        <w:rPr>
          <w:lang w:val="en-US"/>
        </w:rPr>
        <w:t xml:space="preserve"> may be used by the respective parties under the Agreement:</w:t>
      </w:r>
    </w:p>
    <w:p w14:paraId="320548C2" w14:textId="77777777" w:rsidR="00BC1A67" w:rsidRDefault="00BC1A67" w:rsidP="00BB5361">
      <w:pPr>
        <w:spacing w:before="120"/>
        <w:rPr>
          <w:lang w:val="en-US"/>
        </w:rPr>
      </w:pPr>
    </w:p>
    <w:p w14:paraId="07CBE0C0" w14:textId="4D281009" w:rsidR="00BB5361" w:rsidRPr="00BB5361" w:rsidRDefault="0014614F" w:rsidP="00BB5361">
      <w:pPr>
        <w:spacing w:before="120"/>
        <w:rPr>
          <w:lang w:val="en-US"/>
        </w:rPr>
      </w:pPr>
      <w:r>
        <w:rPr>
          <w:lang w:val="en-US"/>
        </w:rPr>
        <w:t>S</w:t>
      </w:r>
      <w:r w:rsidR="001B43F3">
        <w:rPr>
          <w:lang w:val="en-US"/>
        </w:rPr>
        <w:t>ubc</w:t>
      </w:r>
      <w:r w:rsidR="00AA296F">
        <w:rPr>
          <w:lang w:val="en-US"/>
        </w:rPr>
        <w:t>ontractors</w:t>
      </w:r>
      <w:r w:rsidR="00BB5361" w:rsidRPr="00BB5361">
        <w:rPr>
          <w:lang w:val="en-US"/>
        </w:rPr>
        <w:t>:</w:t>
      </w:r>
    </w:p>
    <w:p w14:paraId="3379D2EF" w14:textId="13C67A56" w:rsidR="00BB5361" w:rsidRPr="00BA3985" w:rsidRDefault="00BB5361" w:rsidP="00BB5361">
      <w:pPr>
        <w:pStyle w:val="ListParagraph"/>
        <w:spacing w:before="120"/>
        <w:rPr>
          <w:i/>
          <w:color w:val="0070C0"/>
          <w:lang w:val="en-US"/>
        </w:rPr>
      </w:pPr>
      <w:r w:rsidRPr="00BA3985">
        <w:rPr>
          <w:i/>
          <w:color w:val="0070C0"/>
          <w:lang w:val="en-US"/>
        </w:rPr>
        <w:t xml:space="preserve">[Specification of any </w:t>
      </w:r>
      <w:proofErr w:type="spellStart"/>
      <w:r w:rsidRPr="00BA3985">
        <w:rPr>
          <w:i/>
          <w:color w:val="0070C0"/>
          <w:lang w:val="en-US"/>
        </w:rPr>
        <w:t>authori</w:t>
      </w:r>
      <w:r w:rsidR="00BC1A67">
        <w:rPr>
          <w:i/>
          <w:color w:val="0070C0"/>
          <w:lang w:val="en-US"/>
        </w:rPr>
        <w:t>s</w:t>
      </w:r>
      <w:r w:rsidRPr="00BA3985">
        <w:rPr>
          <w:i/>
          <w:color w:val="0070C0"/>
          <w:lang w:val="en-US"/>
        </w:rPr>
        <w:t>ed</w:t>
      </w:r>
      <w:proofErr w:type="spellEnd"/>
      <w:r w:rsidRPr="00BA3985">
        <w:rPr>
          <w:i/>
          <w:color w:val="0070C0"/>
          <w:lang w:val="en-US"/>
        </w:rPr>
        <w:t xml:space="preserve"> </w:t>
      </w:r>
      <w:r w:rsidR="001B43F3">
        <w:rPr>
          <w:i/>
          <w:color w:val="0070C0"/>
          <w:lang w:val="en-US"/>
        </w:rPr>
        <w:t>subcontractors</w:t>
      </w:r>
      <w:r w:rsidRPr="00BA3985">
        <w:rPr>
          <w:i/>
          <w:color w:val="0070C0"/>
          <w:lang w:val="en-US"/>
        </w:rPr>
        <w:t>.]</w:t>
      </w:r>
      <w:r w:rsidRPr="00BA3985">
        <w:rPr>
          <w:i/>
          <w:color w:val="0070C0"/>
        </w:rPr>
        <w:fldChar w:fldCharType="begin"/>
      </w:r>
      <w:r w:rsidRPr="00BA3985">
        <w:rPr>
          <w:i/>
          <w:color w:val="0070C0"/>
          <w:lang w:val="en-US"/>
        </w:rPr>
        <w:instrText xml:space="preserve"> FILLIN  "Fyll inn"  \* MERGEFORMAT </w:instrText>
      </w:r>
      <w:r w:rsidRPr="00BA3985">
        <w:rPr>
          <w:i/>
          <w:color w:val="0070C0"/>
        </w:rPr>
        <w:fldChar w:fldCharType="end"/>
      </w:r>
    </w:p>
    <w:p w14:paraId="19470919" w14:textId="5534D47B" w:rsidR="00A42164" w:rsidRPr="00BB5361" w:rsidRDefault="00A42164" w:rsidP="00A070BA">
      <w:pPr>
        <w:spacing w:before="120"/>
        <w:jc w:val="center"/>
        <w:rPr>
          <w:lang w:val="en-US"/>
        </w:rPr>
      </w:pPr>
    </w:p>
    <w:p w14:paraId="780B1973" w14:textId="77777777" w:rsidR="00A42164" w:rsidRPr="00BB5361" w:rsidRDefault="00A42164" w:rsidP="00E92F0F">
      <w:pPr>
        <w:spacing w:before="120"/>
        <w:jc w:val="center"/>
        <w:rPr>
          <w:lang w:val="en-US"/>
        </w:rPr>
      </w:pPr>
    </w:p>
    <w:sectPr w:rsidR="00A42164" w:rsidRPr="00BB5361" w:rsidSect="00FA0B2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5EB8" w14:textId="77777777" w:rsidR="002C56FF" w:rsidRDefault="002C56FF" w:rsidP="00D25012">
      <w:r>
        <w:separator/>
      </w:r>
    </w:p>
  </w:endnote>
  <w:endnote w:type="continuationSeparator" w:id="0">
    <w:p w14:paraId="3E88C24F" w14:textId="77777777" w:rsidR="002C56FF" w:rsidRDefault="002C56FF"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1CF" w14:textId="77777777" w:rsidR="00BF6F8A" w:rsidRDefault="00BF6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02202"/>
      <w:docPartObj>
        <w:docPartGallery w:val="Page Numbers (Bottom of Page)"/>
        <w:docPartUnique/>
      </w:docPartObj>
    </w:sdtPr>
    <w:sdtEndPr>
      <w:rPr>
        <w:noProof/>
      </w:rPr>
    </w:sdtEndPr>
    <w:sdtContent>
      <w:p w14:paraId="6BD12DA7" w14:textId="44076EF7" w:rsidR="00B31E46" w:rsidRDefault="00B31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6C0FD" w14:textId="77777777" w:rsidR="00DC0737" w:rsidRDefault="00DC0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500310"/>
      <w:docPartObj>
        <w:docPartGallery w:val="Page Numbers (Bottom of Page)"/>
        <w:docPartUnique/>
      </w:docPartObj>
    </w:sdtPr>
    <w:sdtEndPr>
      <w:rPr>
        <w:noProof/>
      </w:rPr>
    </w:sdtEndPr>
    <w:sdtContent>
      <w:p w14:paraId="75C98489" w14:textId="29FDA07C" w:rsidR="00B31E46" w:rsidRDefault="00B31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F8D465" w14:textId="77777777" w:rsidR="00B31E46" w:rsidRDefault="00B31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1065" w14:textId="77777777" w:rsidR="002C56FF" w:rsidRDefault="002C56FF" w:rsidP="00D25012">
      <w:r>
        <w:separator/>
      </w:r>
    </w:p>
  </w:footnote>
  <w:footnote w:type="continuationSeparator" w:id="0">
    <w:p w14:paraId="6F7C3519" w14:textId="77777777" w:rsidR="002C56FF" w:rsidRDefault="002C56FF"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766C" w14:textId="77777777" w:rsidR="00BF6F8A" w:rsidRDefault="00BF6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06BB" w14:textId="32D891AA" w:rsidR="00DC0737" w:rsidRDefault="00DC0737" w:rsidP="00DC0737">
    <w:pPr>
      <w:pStyle w:val="Header"/>
      <w:jc w:val="right"/>
    </w:pPr>
  </w:p>
  <w:p w14:paraId="5D9263EC" w14:textId="77777777" w:rsidR="00DC0737" w:rsidRDefault="00DC0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96A5" w14:textId="77777777" w:rsidR="00FA0B20" w:rsidRPr="00A23CC8" w:rsidRDefault="00FA0B20" w:rsidP="00FA0B20">
    <w:pPr>
      <w:pStyle w:val="Header"/>
      <w:rPr>
        <w:lang w:val="en-US"/>
      </w:rPr>
    </w:pPr>
  </w:p>
  <w:p w14:paraId="71DC9E86" w14:textId="77777777" w:rsidR="00FA0B20" w:rsidRPr="00A23CC8" w:rsidRDefault="00FA0B2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96E"/>
    <w:multiLevelType w:val="multilevel"/>
    <w:tmpl w:val="F426E8C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B2A73F9"/>
    <w:multiLevelType w:val="hybridMultilevel"/>
    <w:tmpl w:val="F91E9570"/>
    <w:lvl w:ilvl="0" w:tplc="0278084E">
      <w:start w:val="1"/>
      <w:numFmt w:val="decimal"/>
      <w:lvlText w:val="%1."/>
      <w:lvlJc w:val="left"/>
      <w:pPr>
        <w:tabs>
          <w:tab w:val="num" w:pos="1080"/>
        </w:tabs>
        <w:ind w:left="1080" w:hanging="720"/>
      </w:pPr>
    </w:lvl>
    <w:lvl w:ilvl="1" w:tplc="30AEE19C">
      <w:start w:val="1"/>
      <w:numFmt w:val="decimal"/>
      <w:lvlText w:val="5.%2"/>
      <w:lvlJc w:val="left"/>
      <w:pPr>
        <w:tabs>
          <w:tab w:val="num" w:pos="1778"/>
        </w:tabs>
        <w:ind w:left="1778" w:hanging="698"/>
      </w:pPr>
      <w:rPr>
        <w:rFonts w:ascii="Arial" w:hAnsi="Arial" w:cs="Arial" w:hint="default"/>
        <w:b w:val="0"/>
        <w:i w:val="0"/>
        <w:sz w:val="20"/>
        <w:szCs w:val="20"/>
      </w:rPr>
    </w:lvl>
    <w:lvl w:ilvl="2" w:tplc="0E7CF098">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22472D92"/>
    <w:multiLevelType w:val="multilevel"/>
    <w:tmpl w:val="1D209794"/>
    <w:lvl w:ilvl="0">
      <w:start w:val="6"/>
      <w:numFmt w:val="decimal"/>
      <w:lvlText w:val="%1"/>
      <w:lvlJc w:val="left"/>
      <w:pPr>
        <w:tabs>
          <w:tab w:val="num" w:pos="720"/>
        </w:tabs>
        <w:ind w:left="720" w:hanging="720"/>
      </w:pPr>
    </w:lvl>
    <w:lvl w:ilvl="1">
      <w:start w:val="1"/>
      <w:numFmt w:val="decimal"/>
      <w:lvlText w:val="9.%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43057E"/>
    <w:multiLevelType w:val="hybridMultilevel"/>
    <w:tmpl w:val="8AB82B1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27C7E8E"/>
    <w:multiLevelType w:val="multilevel"/>
    <w:tmpl w:val="AF9451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8922B2"/>
    <w:multiLevelType w:val="hybridMultilevel"/>
    <w:tmpl w:val="47308958"/>
    <w:lvl w:ilvl="0" w:tplc="DCE28444">
      <w:start w:val="1"/>
      <w:numFmt w:val="decimal"/>
      <w:lvlText w:val="%1."/>
      <w:lvlJc w:val="left"/>
      <w:pPr>
        <w:ind w:left="360" w:hanging="360"/>
      </w:pPr>
      <w:rPr>
        <w:rFonts w:ascii="Times New Roman" w:hAnsi="Times New Roman" w:cs="Times New Roman"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6D92DE9"/>
    <w:multiLevelType w:val="hybridMultilevel"/>
    <w:tmpl w:val="4B30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72349"/>
    <w:multiLevelType w:val="hybridMultilevel"/>
    <w:tmpl w:val="C37E31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BB441F"/>
    <w:multiLevelType w:val="hybridMultilevel"/>
    <w:tmpl w:val="4380D9E0"/>
    <w:lvl w:ilvl="0" w:tplc="0F208758">
      <w:start w:val="8"/>
      <w:numFmt w:val="decimal"/>
      <w:lvlText w:val="%1."/>
      <w:lvlJc w:val="left"/>
      <w:pPr>
        <w:ind w:left="360" w:hanging="360"/>
      </w:pPr>
      <w:rPr>
        <w:rFonts w:ascii="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A94703A"/>
    <w:multiLevelType w:val="hybridMultilevel"/>
    <w:tmpl w:val="32DCA20C"/>
    <w:lvl w:ilvl="0" w:tplc="4858E4C6">
      <w:start w:val="1"/>
      <w:numFmt w:val="decimal"/>
      <w:lvlText w:val="%1."/>
      <w:lvlJc w:val="left"/>
      <w:pPr>
        <w:ind w:left="643"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11571"/>
    <w:multiLevelType w:val="multilevel"/>
    <w:tmpl w:val="9322E6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D61255"/>
    <w:multiLevelType w:val="multilevel"/>
    <w:tmpl w:val="396C69AA"/>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Arial" w:hAnsi="Arial"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1" w15:restartNumberingAfterBreak="0">
    <w:nsid w:val="79E77852"/>
    <w:multiLevelType w:val="hybridMultilevel"/>
    <w:tmpl w:val="C46A9BD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7"/>
  </w:num>
  <w:num w:numId="4">
    <w:abstractNumId w:val="3"/>
  </w:num>
  <w:num w:numId="5">
    <w:abstractNumId w:val="11"/>
  </w:num>
  <w:num w:numId="6">
    <w:abstractNumId w:val="12"/>
  </w:num>
  <w:num w:numId="7">
    <w:abstractNumId w:val="1"/>
  </w:num>
  <w:num w:numId="8">
    <w:abstractNumId w:val="5"/>
  </w:num>
  <w:num w:numId="9">
    <w:abstractNumId w:val="10"/>
  </w:num>
  <w:num w:numId="10">
    <w:abstractNumId w:val="15"/>
  </w:num>
  <w:num w:numId="11">
    <w:abstractNumId w:val="13"/>
  </w:num>
  <w:num w:numId="12">
    <w:abstractNumId w:val="18"/>
  </w:num>
  <w:num w:numId="13">
    <w:abstractNumId w:val="9"/>
  </w:num>
  <w:num w:numId="14">
    <w:abstractNumId w:val="7"/>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05DB6"/>
    <w:rsid w:val="000116E8"/>
    <w:rsid w:val="00011906"/>
    <w:rsid w:val="00017A0B"/>
    <w:rsid w:val="000307AC"/>
    <w:rsid w:val="000308A4"/>
    <w:rsid w:val="00032379"/>
    <w:rsid w:val="00037A55"/>
    <w:rsid w:val="00061054"/>
    <w:rsid w:val="00071F39"/>
    <w:rsid w:val="00076E42"/>
    <w:rsid w:val="000831AC"/>
    <w:rsid w:val="000A081D"/>
    <w:rsid w:val="000A12EC"/>
    <w:rsid w:val="000B4184"/>
    <w:rsid w:val="000B4BE2"/>
    <w:rsid w:val="000C3011"/>
    <w:rsid w:val="000C628F"/>
    <w:rsid w:val="000D0489"/>
    <w:rsid w:val="000E0C70"/>
    <w:rsid w:val="000E1A88"/>
    <w:rsid w:val="000E7C24"/>
    <w:rsid w:val="000F0F91"/>
    <w:rsid w:val="000F3EE5"/>
    <w:rsid w:val="001100CA"/>
    <w:rsid w:val="00111B01"/>
    <w:rsid w:val="00115CDD"/>
    <w:rsid w:val="001345D6"/>
    <w:rsid w:val="00134E3F"/>
    <w:rsid w:val="00135F44"/>
    <w:rsid w:val="0014062C"/>
    <w:rsid w:val="0014614F"/>
    <w:rsid w:val="001465A8"/>
    <w:rsid w:val="0015568E"/>
    <w:rsid w:val="001564A1"/>
    <w:rsid w:val="00156942"/>
    <w:rsid w:val="00162B89"/>
    <w:rsid w:val="00172B75"/>
    <w:rsid w:val="001813C9"/>
    <w:rsid w:val="00182055"/>
    <w:rsid w:val="00183613"/>
    <w:rsid w:val="001A6273"/>
    <w:rsid w:val="001A75E6"/>
    <w:rsid w:val="001B1E94"/>
    <w:rsid w:val="001B2A47"/>
    <w:rsid w:val="001B43F3"/>
    <w:rsid w:val="001C105D"/>
    <w:rsid w:val="001C20C2"/>
    <w:rsid w:val="001C4819"/>
    <w:rsid w:val="001C6FCF"/>
    <w:rsid w:val="001E0D63"/>
    <w:rsid w:val="001E27C0"/>
    <w:rsid w:val="001E3353"/>
    <w:rsid w:val="001E69A8"/>
    <w:rsid w:val="001F5C65"/>
    <w:rsid w:val="0020674C"/>
    <w:rsid w:val="00206DE4"/>
    <w:rsid w:val="0021123B"/>
    <w:rsid w:val="002213F6"/>
    <w:rsid w:val="00226945"/>
    <w:rsid w:val="00231589"/>
    <w:rsid w:val="00232571"/>
    <w:rsid w:val="00232AC4"/>
    <w:rsid w:val="00240329"/>
    <w:rsid w:val="00240DA2"/>
    <w:rsid w:val="00247299"/>
    <w:rsid w:val="00253D04"/>
    <w:rsid w:val="00256C4F"/>
    <w:rsid w:val="00260A23"/>
    <w:rsid w:val="00262051"/>
    <w:rsid w:val="00263B58"/>
    <w:rsid w:val="0026470B"/>
    <w:rsid w:val="002725B4"/>
    <w:rsid w:val="0027639A"/>
    <w:rsid w:val="00276775"/>
    <w:rsid w:val="00277BF1"/>
    <w:rsid w:val="002806C1"/>
    <w:rsid w:val="00284714"/>
    <w:rsid w:val="00297872"/>
    <w:rsid w:val="002A5D2D"/>
    <w:rsid w:val="002A7E8B"/>
    <w:rsid w:val="002C56FF"/>
    <w:rsid w:val="002C797A"/>
    <w:rsid w:val="002D271A"/>
    <w:rsid w:val="002D30A2"/>
    <w:rsid w:val="002D4A72"/>
    <w:rsid w:val="002D4B20"/>
    <w:rsid w:val="002E76B2"/>
    <w:rsid w:val="002F67C5"/>
    <w:rsid w:val="003011ED"/>
    <w:rsid w:val="003026A3"/>
    <w:rsid w:val="003117D7"/>
    <w:rsid w:val="00316805"/>
    <w:rsid w:val="0032684B"/>
    <w:rsid w:val="00327F58"/>
    <w:rsid w:val="00330AD1"/>
    <w:rsid w:val="0033402E"/>
    <w:rsid w:val="0033643B"/>
    <w:rsid w:val="0033715F"/>
    <w:rsid w:val="00352981"/>
    <w:rsid w:val="0035413D"/>
    <w:rsid w:val="0035780D"/>
    <w:rsid w:val="003605A4"/>
    <w:rsid w:val="0036260D"/>
    <w:rsid w:val="00362DE3"/>
    <w:rsid w:val="0036352B"/>
    <w:rsid w:val="00364D78"/>
    <w:rsid w:val="00371489"/>
    <w:rsid w:val="00376136"/>
    <w:rsid w:val="003847E0"/>
    <w:rsid w:val="003947EE"/>
    <w:rsid w:val="0039648B"/>
    <w:rsid w:val="003A4224"/>
    <w:rsid w:val="003A5392"/>
    <w:rsid w:val="003A63ED"/>
    <w:rsid w:val="003A68C6"/>
    <w:rsid w:val="003B47AD"/>
    <w:rsid w:val="003B6BBB"/>
    <w:rsid w:val="003C1295"/>
    <w:rsid w:val="003C1607"/>
    <w:rsid w:val="003C4DDD"/>
    <w:rsid w:val="003D4019"/>
    <w:rsid w:val="003D740C"/>
    <w:rsid w:val="003E46DE"/>
    <w:rsid w:val="003F31B5"/>
    <w:rsid w:val="003F33D1"/>
    <w:rsid w:val="003F5005"/>
    <w:rsid w:val="004033F8"/>
    <w:rsid w:val="00416235"/>
    <w:rsid w:val="00424D65"/>
    <w:rsid w:val="0042580D"/>
    <w:rsid w:val="00430134"/>
    <w:rsid w:val="00431C7A"/>
    <w:rsid w:val="00432E81"/>
    <w:rsid w:val="00434977"/>
    <w:rsid w:val="004358CE"/>
    <w:rsid w:val="00443086"/>
    <w:rsid w:val="00444E91"/>
    <w:rsid w:val="0045131D"/>
    <w:rsid w:val="0046349C"/>
    <w:rsid w:val="0046612C"/>
    <w:rsid w:val="00473806"/>
    <w:rsid w:val="00476251"/>
    <w:rsid w:val="00477E55"/>
    <w:rsid w:val="00481E06"/>
    <w:rsid w:val="00482048"/>
    <w:rsid w:val="00484E2C"/>
    <w:rsid w:val="00491903"/>
    <w:rsid w:val="00493FCE"/>
    <w:rsid w:val="004975CC"/>
    <w:rsid w:val="004A5FB1"/>
    <w:rsid w:val="004C065B"/>
    <w:rsid w:val="004C42BA"/>
    <w:rsid w:val="004E3F54"/>
    <w:rsid w:val="004F3CC9"/>
    <w:rsid w:val="004F4137"/>
    <w:rsid w:val="004F4544"/>
    <w:rsid w:val="00502CDF"/>
    <w:rsid w:val="00503B21"/>
    <w:rsid w:val="00504FB6"/>
    <w:rsid w:val="00516981"/>
    <w:rsid w:val="00532E19"/>
    <w:rsid w:val="00536491"/>
    <w:rsid w:val="005371FA"/>
    <w:rsid w:val="0054298D"/>
    <w:rsid w:val="00542F25"/>
    <w:rsid w:val="005512F0"/>
    <w:rsid w:val="00551D17"/>
    <w:rsid w:val="00562FCB"/>
    <w:rsid w:val="005643FE"/>
    <w:rsid w:val="00567385"/>
    <w:rsid w:val="00570F88"/>
    <w:rsid w:val="00572786"/>
    <w:rsid w:val="00572B03"/>
    <w:rsid w:val="00575469"/>
    <w:rsid w:val="005820D1"/>
    <w:rsid w:val="00590C72"/>
    <w:rsid w:val="00594DE6"/>
    <w:rsid w:val="005A3848"/>
    <w:rsid w:val="005A4F2A"/>
    <w:rsid w:val="005A7E58"/>
    <w:rsid w:val="005B363A"/>
    <w:rsid w:val="005B4EB7"/>
    <w:rsid w:val="005C4C14"/>
    <w:rsid w:val="005C5A67"/>
    <w:rsid w:val="005C6F3B"/>
    <w:rsid w:val="005C70EE"/>
    <w:rsid w:val="005D31F9"/>
    <w:rsid w:val="005D331F"/>
    <w:rsid w:val="005D6F04"/>
    <w:rsid w:val="005E20F1"/>
    <w:rsid w:val="00600AAC"/>
    <w:rsid w:val="00602030"/>
    <w:rsid w:val="00606956"/>
    <w:rsid w:val="00607BC7"/>
    <w:rsid w:val="00610330"/>
    <w:rsid w:val="00615D21"/>
    <w:rsid w:val="00620C2A"/>
    <w:rsid w:val="00624947"/>
    <w:rsid w:val="00632155"/>
    <w:rsid w:val="00636907"/>
    <w:rsid w:val="00637C07"/>
    <w:rsid w:val="0064566B"/>
    <w:rsid w:val="00646657"/>
    <w:rsid w:val="00650F1F"/>
    <w:rsid w:val="00651A32"/>
    <w:rsid w:val="00653181"/>
    <w:rsid w:val="0066344A"/>
    <w:rsid w:val="00664588"/>
    <w:rsid w:val="0068242D"/>
    <w:rsid w:val="00686FBF"/>
    <w:rsid w:val="006A24FD"/>
    <w:rsid w:val="006A69B5"/>
    <w:rsid w:val="006B005F"/>
    <w:rsid w:val="006B3FFB"/>
    <w:rsid w:val="006D64EC"/>
    <w:rsid w:val="006E063C"/>
    <w:rsid w:val="006E1892"/>
    <w:rsid w:val="006E5C0C"/>
    <w:rsid w:val="006F52CD"/>
    <w:rsid w:val="006F7706"/>
    <w:rsid w:val="0071091E"/>
    <w:rsid w:val="0071377F"/>
    <w:rsid w:val="00716188"/>
    <w:rsid w:val="007243DA"/>
    <w:rsid w:val="007277AB"/>
    <w:rsid w:val="00730E6B"/>
    <w:rsid w:val="00735DB8"/>
    <w:rsid w:val="007433CE"/>
    <w:rsid w:val="007464E8"/>
    <w:rsid w:val="00756321"/>
    <w:rsid w:val="00771B8C"/>
    <w:rsid w:val="0078182B"/>
    <w:rsid w:val="00784F78"/>
    <w:rsid w:val="00792059"/>
    <w:rsid w:val="007937AD"/>
    <w:rsid w:val="00793E0C"/>
    <w:rsid w:val="007A1468"/>
    <w:rsid w:val="007A27EC"/>
    <w:rsid w:val="007A5D46"/>
    <w:rsid w:val="007B54AC"/>
    <w:rsid w:val="007C064C"/>
    <w:rsid w:val="007C0809"/>
    <w:rsid w:val="007D651F"/>
    <w:rsid w:val="007D66B0"/>
    <w:rsid w:val="007D7D53"/>
    <w:rsid w:val="007E04CD"/>
    <w:rsid w:val="007E15F4"/>
    <w:rsid w:val="007E2194"/>
    <w:rsid w:val="007E2440"/>
    <w:rsid w:val="007F627E"/>
    <w:rsid w:val="007F7DCA"/>
    <w:rsid w:val="00803A5C"/>
    <w:rsid w:val="0081323B"/>
    <w:rsid w:val="00825A14"/>
    <w:rsid w:val="0082699C"/>
    <w:rsid w:val="0083607F"/>
    <w:rsid w:val="00840591"/>
    <w:rsid w:val="00844234"/>
    <w:rsid w:val="00851C52"/>
    <w:rsid w:val="00853DD5"/>
    <w:rsid w:val="00855BF9"/>
    <w:rsid w:val="0086044C"/>
    <w:rsid w:val="00864B3A"/>
    <w:rsid w:val="00872126"/>
    <w:rsid w:val="00886613"/>
    <w:rsid w:val="00895C94"/>
    <w:rsid w:val="00897AD4"/>
    <w:rsid w:val="008A1A7E"/>
    <w:rsid w:val="008B46D1"/>
    <w:rsid w:val="008B7C30"/>
    <w:rsid w:val="008C1193"/>
    <w:rsid w:val="008C64F0"/>
    <w:rsid w:val="008C7AFE"/>
    <w:rsid w:val="008E0915"/>
    <w:rsid w:val="008E34B2"/>
    <w:rsid w:val="008E4AA4"/>
    <w:rsid w:val="008F4964"/>
    <w:rsid w:val="00901BD7"/>
    <w:rsid w:val="009069FE"/>
    <w:rsid w:val="00906FC9"/>
    <w:rsid w:val="009105DF"/>
    <w:rsid w:val="00916CA8"/>
    <w:rsid w:val="009177CF"/>
    <w:rsid w:val="00925CBC"/>
    <w:rsid w:val="00937A9F"/>
    <w:rsid w:val="0094028C"/>
    <w:rsid w:val="00940D23"/>
    <w:rsid w:val="00942E8E"/>
    <w:rsid w:val="00947C2A"/>
    <w:rsid w:val="00953E6F"/>
    <w:rsid w:val="0095556D"/>
    <w:rsid w:val="00956958"/>
    <w:rsid w:val="00960CDF"/>
    <w:rsid w:val="00961EEF"/>
    <w:rsid w:val="00965DC8"/>
    <w:rsid w:val="009711BE"/>
    <w:rsid w:val="00985225"/>
    <w:rsid w:val="009911CF"/>
    <w:rsid w:val="00994B58"/>
    <w:rsid w:val="00996402"/>
    <w:rsid w:val="009975CE"/>
    <w:rsid w:val="009A44FB"/>
    <w:rsid w:val="009A4F3F"/>
    <w:rsid w:val="009A7A0F"/>
    <w:rsid w:val="009B076F"/>
    <w:rsid w:val="009B11D4"/>
    <w:rsid w:val="009B4BEE"/>
    <w:rsid w:val="009C1073"/>
    <w:rsid w:val="009C10FB"/>
    <w:rsid w:val="009C3B8F"/>
    <w:rsid w:val="009C5A09"/>
    <w:rsid w:val="009C6617"/>
    <w:rsid w:val="009C671C"/>
    <w:rsid w:val="009C7B56"/>
    <w:rsid w:val="009D6C55"/>
    <w:rsid w:val="009E7502"/>
    <w:rsid w:val="009F2DD1"/>
    <w:rsid w:val="009F5A71"/>
    <w:rsid w:val="009F70E5"/>
    <w:rsid w:val="00A02007"/>
    <w:rsid w:val="00A0229B"/>
    <w:rsid w:val="00A056C0"/>
    <w:rsid w:val="00A070BA"/>
    <w:rsid w:val="00A1059A"/>
    <w:rsid w:val="00A14C3A"/>
    <w:rsid w:val="00A16FA2"/>
    <w:rsid w:val="00A2202F"/>
    <w:rsid w:val="00A23CC8"/>
    <w:rsid w:val="00A274BD"/>
    <w:rsid w:val="00A279BF"/>
    <w:rsid w:val="00A42164"/>
    <w:rsid w:val="00A43DAC"/>
    <w:rsid w:val="00A6073B"/>
    <w:rsid w:val="00A73E65"/>
    <w:rsid w:val="00A758D9"/>
    <w:rsid w:val="00A77BFF"/>
    <w:rsid w:val="00A92408"/>
    <w:rsid w:val="00A95C2E"/>
    <w:rsid w:val="00AA103D"/>
    <w:rsid w:val="00AA296F"/>
    <w:rsid w:val="00AB70F2"/>
    <w:rsid w:val="00AC798F"/>
    <w:rsid w:val="00AD5DEE"/>
    <w:rsid w:val="00AD6612"/>
    <w:rsid w:val="00AE1B4C"/>
    <w:rsid w:val="00AE57C7"/>
    <w:rsid w:val="00AF27FF"/>
    <w:rsid w:val="00AF3027"/>
    <w:rsid w:val="00AF70F0"/>
    <w:rsid w:val="00B04839"/>
    <w:rsid w:val="00B10248"/>
    <w:rsid w:val="00B13072"/>
    <w:rsid w:val="00B13649"/>
    <w:rsid w:val="00B24600"/>
    <w:rsid w:val="00B31176"/>
    <w:rsid w:val="00B31E46"/>
    <w:rsid w:val="00B33295"/>
    <w:rsid w:val="00B41C43"/>
    <w:rsid w:val="00B4560A"/>
    <w:rsid w:val="00B4574D"/>
    <w:rsid w:val="00B47619"/>
    <w:rsid w:val="00B4764C"/>
    <w:rsid w:val="00B61E0D"/>
    <w:rsid w:val="00B6625E"/>
    <w:rsid w:val="00B70151"/>
    <w:rsid w:val="00B74524"/>
    <w:rsid w:val="00B75DA7"/>
    <w:rsid w:val="00B8055F"/>
    <w:rsid w:val="00B82051"/>
    <w:rsid w:val="00B94CE8"/>
    <w:rsid w:val="00B94FD3"/>
    <w:rsid w:val="00BA1A05"/>
    <w:rsid w:val="00BA35EC"/>
    <w:rsid w:val="00BA57EE"/>
    <w:rsid w:val="00BB34CC"/>
    <w:rsid w:val="00BB5361"/>
    <w:rsid w:val="00BB70C9"/>
    <w:rsid w:val="00BC0F63"/>
    <w:rsid w:val="00BC1A67"/>
    <w:rsid w:val="00BC1F81"/>
    <w:rsid w:val="00BC3B44"/>
    <w:rsid w:val="00BD41E8"/>
    <w:rsid w:val="00BD4244"/>
    <w:rsid w:val="00BD4FCA"/>
    <w:rsid w:val="00BE736A"/>
    <w:rsid w:val="00BF2618"/>
    <w:rsid w:val="00BF3BDA"/>
    <w:rsid w:val="00BF6F8A"/>
    <w:rsid w:val="00C01D65"/>
    <w:rsid w:val="00C07EE1"/>
    <w:rsid w:val="00C1039E"/>
    <w:rsid w:val="00C117B3"/>
    <w:rsid w:val="00C265BD"/>
    <w:rsid w:val="00C27E29"/>
    <w:rsid w:val="00C3029C"/>
    <w:rsid w:val="00C31FC4"/>
    <w:rsid w:val="00C37048"/>
    <w:rsid w:val="00C372E5"/>
    <w:rsid w:val="00C376AF"/>
    <w:rsid w:val="00C4193B"/>
    <w:rsid w:val="00C46625"/>
    <w:rsid w:val="00C4753F"/>
    <w:rsid w:val="00C529B9"/>
    <w:rsid w:val="00C53852"/>
    <w:rsid w:val="00C611E7"/>
    <w:rsid w:val="00C654AC"/>
    <w:rsid w:val="00C71FCA"/>
    <w:rsid w:val="00C72170"/>
    <w:rsid w:val="00C73524"/>
    <w:rsid w:val="00C73B2A"/>
    <w:rsid w:val="00C81B1D"/>
    <w:rsid w:val="00C836CF"/>
    <w:rsid w:val="00C86D82"/>
    <w:rsid w:val="00CA1708"/>
    <w:rsid w:val="00CA2220"/>
    <w:rsid w:val="00CA2561"/>
    <w:rsid w:val="00CB317E"/>
    <w:rsid w:val="00CC1406"/>
    <w:rsid w:val="00CD0068"/>
    <w:rsid w:val="00CD6A71"/>
    <w:rsid w:val="00CD7A17"/>
    <w:rsid w:val="00CE2811"/>
    <w:rsid w:val="00CF343D"/>
    <w:rsid w:val="00CF421C"/>
    <w:rsid w:val="00CF6805"/>
    <w:rsid w:val="00CF704E"/>
    <w:rsid w:val="00D112B7"/>
    <w:rsid w:val="00D13E29"/>
    <w:rsid w:val="00D2484F"/>
    <w:rsid w:val="00D25012"/>
    <w:rsid w:val="00D269F5"/>
    <w:rsid w:val="00D30E00"/>
    <w:rsid w:val="00D3120E"/>
    <w:rsid w:val="00D338FB"/>
    <w:rsid w:val="00D35B99"/>
    <w:rsid w:val="00D362BB"/>
    <w:rsid w:val="00D40BC8"/>
    <w:rsid w:val="00D435D9"/>
    <w:rsid w:val="00D4542D"/>
    <w:rsid w:val="00D5170F"/>
    <w:rsid w:val="00D64E55"/>
    <w:rsid w:val="00D76029"/>
    <w:rsid w:val="00D767DA"/>
    <w:rsid w:val="00D8357B"/>
    <w:rsid w:val="00D855E0"/>
    <w:rsid w:val="00D91A87"/>
    <w:rsid w:val="00D92724"/>
    <w:rsid w:val="00DA40A1"/>
    <w:rsid w:val="00DC0737"/>
    <w:rsid w:val="00DC4B17"/>
    <w:rsid w:val="00DC699D"/>
    <w:rsid w:val="00DD0BAD"/>
    <w:rsid w:val="00DE0DB9"/>
    <w:rsid w:val="00DE38F7"/>
    <w:rsid w:val="00DE5927"/>
    <w:rsid w:val="00DE7975"/>
    <w:rsid w:val="00DF3742"/>
    <w:rsid w:val="00DF4170"/>
    <w:rsid w:val="00DF42C8"/>
    <w:rsid w:val="00DF5519"/>
    <w:rsid w:val="00E01238"/>
    <w:rsid w:val="00E04FB5"/>
    <w:rsid w:val="00E05CBE"/>
    <w:rsid w:val="00E257E5"/>
    <w:rsid w:val="00E26C39"/>
    <w:rsid w:val="00E30DFD"/>
    <w:rsid w:val="00E32BE2"/>
    <w:rsid w:val="00E351F0"/>
    <w:rsid w:val="00E36914"/>
    <w:rsid w:val="00E5301E"/>
    <w:rsid w:val="00E55857"/>
    <w:rsid w:val="00E579D1"/>
    <w:rsid w:val="00E61167"/>
    <w:rsid w:val="00E6325C"/>
    <w:rsid w:val="00E64343"/>
    <w:rsid w:val="00E703CD"/>
    <w:rsid w:val="00E73EEC"/>
    <w:rsid w:val="00E846F6"/>
    <w:rsid w:val="00E856B0"/>
    <w:rsid w:val="00E87234"/>
    <w:rsid w:val="00E911A1"/>
    <w:rsid w:val="00E92F0F"/>
    <w:rsid w:val="00E9600F"/>
    <w:rsid w:val="00EA5A50"/>
    <w:rsid w:val="00ED1AA6"/>
    <w:rsid w:val="00ED4097"/>
    <w:rsid w:val="00ED4396"/>
    <w:rsid w:val="00ED55A0"/>
    <w:rsid w:val="00ED608E"/>
    <w:rsid w:val="00EE755D"/>
    <w:rsid w:val="00EE7F53"/>
    <w:rsid w:val="00F04AFD"/>
    <w:rsid w:val="00F22712"/>
    <w:rsid w:val="00F253FC"/>
    <w:rsid w:val="00F2552D"/>
    <w:rsid w:val="00F31BE1"/>
    <w:rsid w:val="00F31F56"/>
    <w:rsid w:val="00F51A32"/>
    <w:rsid w:val="00F52166"/>
    <w:rsid w:val="00F56287"/>
    <w:rsid w:val="00F57556"/>
    <w:rsid w:val="00F6372E"/>
    <w:rsid w:val="00F66BC7"/>
    <w:rsid w:val="00F70309"/>
    <w:rsid w:val="00F7557B"/>
    <w:rsid w:val="00F8233F"/>
    <w:rsid w:val="00F831D1"/>
    <w:rsid w:val="00F910B5"/>
    <w:rsid w:val="00F9318A"/>
    <w:rsid w:val="00F9488D"/>
    <w:rsid w:val="00F97A13"/>
    <w:rsid w:val="00FA0B20"/>
    <w:rsid w:val="00FA1218"/>
    <w:rsid w:val="00FA7F37"/>
    <w:rsid w:val="00FB374C"/>
    <w:rsid w:val="00FB42FF"/>
    <w:rsid w:val="00FC4381"/>
    <w:rsid w:val="00FC55CE"/>
    <w:rsid w:val="00FD04D7"/>
    <w:rsid w:val="00FD3E0A"/>
    <w:rsid w:val="00FD5FA8"/>
    <w:rsid w:val="00FE5668"/>
    <w:rsid w:val="00FE75C2"/>
    <w:rsid w:val="00FF4C1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keepLines/>
      <w:spacing w:after="200"/>
      <w:outlineLvl w:val="1"/>
    </w:pPr>
    <w:rPr>
      <w:rFonts w:ascii="Century Gothic" w:hAnsi="Century Gothic"/>
      <w:b/>
      <w:noProof/>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ceholderText">
    <w:name w:val="Placeholder Text"/>
    <w:basedOn w:val="DefaultParagraphFont"/>
    <w:uiPriority w:val="99"/>
    <w:semiHidden/>
    <w:rsid w:val="00996402"/>
    <w:rPr>
      <w:color w:val="808080"/>
    </w:rPr>
  </w:style>
  <w:style w:type="paragraph" w:styleId="BalloonText">
    <w:name w:val="Balloon Text"/>
    <w:basedOn w:val="Normal"/>
    <w:link w:val="BalloonTextChar"/>
    <w:uiPriority w:val="99"/>
    <w:semiHidden/>
    <w:unhideWhenUsed/>
    <w:rsid w:val="00996402"/>
    <w:rPr>
      <w:rFonts w:ascii="Tahoma" w:hAnsi="Tahoma" w:cs="Tahoma"/>
      <w:sz w:val="16"/>
      <w:szCs w:val="16"/>
    </w:rPr>
  </w:style>
  <w:style w:type="character" w:customStyle="1" w:styleId="BalloonTextChar">
    <w:name w:val="Balloon Text Char"/>
    <w:basedOn w:val="DefaultParagraphFont"/>
    <w:link w:val="BalloonText"/>
    <w:uiPriority w:val="99"/>
    <w:semiHidden/>
    <w:rsid w:val="00996402"/>
    <w:rPr>
      <w:rFonts w:ascii="Tahoma" w:hAnsi="Tahoma" w:cs="Tahoma"/>
      <w:sz w:val="16"/>
      <w:szCs w:val="16"/>
    </w:rPr>
  </w:style>
  <w:style w:type="table" w:styleId="TableGrid">
    <w:name w:val="Table Grid"/>
    <w:basedOn w:val="TableNorma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307AC"/>
    <w:pPr>
      <w:ind w:left="720"/>
      <w:contextualSpacing/>
    </w:pPr>
  </w:style>
  <w:style w:type="character" w:styleId="Hyperlink">
    <w:name w:val="Hyperlink"/>
    <w:basedOn w:val="DefaultParagraphFont"/>
    <w:uiPriority w:val="99"/>
    <w:unhideWhenUsed/>
    <w:rsid w:val="00DF5519"/>
    <w:rPr>
      <w:color w:val="0000FF" w:themeColor="hyperlink"/>
      <w:u w:val="single"/>
    </w:rPr>
  </w:style>
  <w:style w:type="paragraph" w:styleId="FootnoteText">
    <w:name w:val="footnote text"/>
    <w:basedOn w:val="Normal"/>
    <w:link w:val="FootnoteTextChar"/>
    <w:uiPriority w:val="99"/>
    <w:semiHidden/>
    <w:unhideWhenUsed/>
    <w:rsid w:val="00D25012"/>
    <w:rPr>
      <w:sz w:val="20"/>
      <w:szCs w:val="20"/>
    </w:rPr>
  </w:style>
  <w:style w:type="character" w:customStyle="1" w:styleId="FootnoteTextChar">
    <w:name w:val="Footnote Text Char"/>
    <w:basedOn w:val="DefaultParagraphFont"/>
    <w:link w:val="FootnoteText"/>
    <w:uiPriority w:val="99"/>
    <w:semiHidden/>
    <w:rsid w:val="00D25012"/>
  </w:style>
  <w:style w:type="character" w:styleId="FootnoteReference">
    <w:name w:val="footnote reference"/>
    <w:basedOn w:val="DefaultParagraphFont"/>
    <w:uiPriority w:val="99"/>
    <w:semiHidden/>
    <w:unhideWhenUsed/>
    <w:rsid w:val="00D25012"/>
    <w:rPr>
      <w:vertAlign w:val="superscript"/>
    </w:rPr>
  </w:style>
  <w:style w:type="paragraph" w:styleId="Header">
    <w:name w:val="header"/>
    <w:basedOn w:val="Normal"/>
    <w:link w:val="HeaderChar"/>
    <w:uiPriority w:val="99"/>
    <w:unhideWhenUsed/>
    <w:rsid w:val="00DC0737"/>
    <w:pPr>
      <w:tabs>
        <w:tab w:val="center" w:pos="4513"/>
        <w:tab w:val="right" w:pos="9026"/>
      </w:tabs>
    </w:pPr>
  </w:style>
  <w:style w:type="character" w:customStyle="1" w:styleId="HeaderChar">
    <w:name w:val="Header Char"/>
    <w:basedOn w:val="DefaultParagraphFont"/>
    <w:link w:val="Header"/>
    <w:uiPriority w:val="99"/>
    <w:rsid w:val="00DC0737"/>
    <w:rPr>
      <w:sz w:val="24"/>
      <w:szCs w:val="24"/>
    </w:rPr>
  </w:style>
  <w:style w:type="paragraph" w:styleId="Footer">
    <w:name w:val="footer"/>
    <w:basedOn w:val="Normal"/>
    <w:link w:val="FooterChar"/>
    <w:uiPriority w:val="99"/>
    <w:unhideWhenUsed/>
    <w:rsid w:val="00DC0737"/>
    <w:pPr>
      <w:tabs>
        <w:tab w:val="center" w:pos="4513"/>
        <w:tab w:val="right" w:pos="9026"/>
      </w:tabs>
    </w:pPr>
  </w:style>
  <w:style w:type="character" w:customStyle="1" w:styleId="FooterChar">
    <w:name w:val="Footer Char"/>
    <w:basedOn w:val="DefaultParagraphFont"/>
    <w:link w:val="Footer"/>
    <w:uiPriority w:val="99"/>
    <w:rsid w:val="00DC0737"/>
    <w:rPr>
      <w:sz w:val="24"/>
      <w:szCs w:val="24"/>
    </w:rPr>
  </w:style>
  <w:style w:type="character" w:styleId="CommentReference">
    <w:name w:val="annotation reference"/>
    <w:basedOn w:val="DefaultParagraphFont"/>
    <w:uiPriority w:val="99"/>
    <w:semiHidden/>
    <w:unhideWhenUsed/>
    <w:rsid w:val="00C529B9"/>
    <w:rPr>
      <w:sz w:val="16"/>
      <w:szCs w:val="16"/>
    </w:rPr>
  </w:style>
  <w:style w:type="paragraph" w:styleId="CommentText">
    <w:name w:val="annotation text"/>
    <w:basedOn w:val="Normal"/>
    <w:link w:val="CommentTextChar"/>
    <w:uiPriority w:val="99"/>
    <w:semiHidden/>
    <w:unhideWhenUsed/>
    <w:rsid w:val="00C529B9"/>
    <w:rPr>
      <w:sz w:val="20"/>
      <w:szCs w:val="20"/>
    </w:rPr>
  </w:style>
  <w:style w:type="character" w:customStyle="1" w:styleId="CommentTextChar">
    <w:name w:val="Comment Text Char"/>
    <w:basedOn w:val="DefaultParagraphFont"/>
    <w:link w:val="CommentText"/>
    <w:uiPriority w:val="99"/>
    <w:semiHidden/>
    <w:rsid w:val="00C529B9"/>
  </w:style>
  <w:style w:type="paragraph" w:styleId="CommentSubject">
    <w:name w:val="annotation subject"/>
    <w:basedOn w:val="CommentText"/>
    <w:next w:val="CommentText"/>
    <w:link w:val="CommentSubjectChar"/>
    <w:uiPriority w:val="99"/>
    <w:semiHidden/>
    <w:unhideWhenUsed/>
    <w:rsid w:val="00C529B9"/>
    <w:rPr>
      <w:b/>
      <w:bCs/>
    </w:rPr>
  </w:style>
  <w:style w:type="character" w:customStyle="1" w:styleId="CommentSubjectChar">
    <w:name w:val="Comment Subject Char"/>
    <w:basedOn w:val="CommentTextChar"/>
    <w:link w:val="CommentSubject"/>
    <w:uiPriority w:val="99"/>
    <w:semiHidden/>
    <w:rsid w:val="00C529B9"/>
    <w:rPr>
      <w:b/>
      <w:bCs/>
    </w:rPr>
  </w:style>
  <w:style w:type="paragraph" w:customStyle="1" w:styleId="paragraph">
    <w:name w:val="paragraph"/>
    <w:basedOn w:val="Normal"/>
    <w:rsid w:val="00E92F0F"/>
  </w:style>
  <w:style w:type="character" w:customStyle="1" w:styleId="spellingerror">
    <w:name w:val="spellingerror"/>
    <w:basedOn w:val="DefaultParagraphFont"/>
    <w:rsid w:val="00E92F0F"/>
  </w:style>
  <w:style w:type="character" w:customStyle="1" w:styleId="normaltextrun1">
    <w:name w:val="normaltextrun1"/>
    <w:basedOn w:val="DefaultParagraphFont"/>
    <w:rsid w:val="00E92F0F"/>
  </w:style>
  <w:style w:type="character" w:customStyle="1" w:styleId="Heading2Char">
    <w:name w:val="Heading 2 Char"/>
    <w:basedOn w:val="DefaultParagraphFont"/>
    <w:link w:val="Heading2"/>
    <w:rsid w:val="00BB5361"/>
    <w:rPr>
      <w:rFonts w:ascii="Century Gothic" w:hAnsi="Century Gothic"/>
      <w:b/>
      <w:noProof/>
      <w:sz w:val="28"/>
      <w:szCs w:val="26"/>
      <w:lang w:eastAsia="en-US"/>
    </w:rPr>
  </w:style>
  <w:style w:type="character" w:styleId="Strong">
    <w:name w:val="Strong"/>
    <w:basedOn w:val="DefaultParagraphFont"/>
    <w:uiPriority w:val="22"/>
    <w:qFormat/>
    <w:rsid w:val="007433CE"/>
    <w:rPr>
      <w:b/>
      <w:bCs/>
    </w:rPr>
  </w:style>
  <w:style w:type="paragraph" w:customStyle="1" w:styleId="Schmainhead">
    <w:name w:val="Sch   main head"/>
    <w:basedOn w:val="Normal"/>
    <w:next w:val="Normal"/>
    <w:autoRedefine/>
    <w:rsid w:val="00BF6F8A"/>
    <w:pPr>
      <w:keepNext/>
      <w:pageBreakBefore/>
      <w:spacing w:before="240" w:after="360" w:line="300" w:lineRule="atLeast"/>
      <w:ind w:left="-709"/>
      <w:outlineLvl w:val="0"/>
    </w:pPr>
    <w:rPr>
      <w:rFonts w:ascii="Arial" w:hAnsi="Arial" w:cs="Arial"/>
      <w:b/>
      <w:kern w:val="28"/>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8209">
      <w:bodyDiv w:val="1"/>
      <w:marLeft w:val="0"/>
      <w:marRight w:val="0"/>
      <w:marTop w:val="0"/>
      <w:marBottom w:val="0"/>
      <w:divBdr>
        <w:top w:val="none" w:sz="0" w:space="0" w:color="auto"/>
        <w:left w:val="none" w:sz="0" w:space="0" w:color="auto"/>
        <w:bottom w:val="none" w:sz="0" w:space="0" w:color="auto"/>
        <w:right w:val="none" w:sz="0" w:space="0" w:color="auto"/>
      </w:divBdr>
    </w:div>
    <w:div w:id="1367676377">
      <w:bodyDiv w:val="1"/>
      <w:marLeft w:val="0"/>
      <w:marRight w:val="0"/>
      <w:marTop w:val="0"/>
      <w:marBottom w:val="0"/>
      <w:divBdr>
        <w:top w:val="none" w:sz="0" w:space="0" w:color="auto"/>
        <w:left w:val="none" w:sz="0" w:space="0" w:color="auto"/>
        <w:bottom w:val="none" w:sz="0" w:space="0" w:color="auto"/>
        <w:right w:val="none" w:sz="0" w:space="0" w:color="auto"/>
      </w:divBdr>
    </w:div>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2CF665D6E1A9438154D5045877AFE8" ma:contentTypeVersion="4" ma:contentTypeDescription="Create a new document." ma:contentTypeScope="" ma:versionID="0eaee26de00745e1229f5b4f419010b1">
  <xsd:schema xmlns:xsd="http://www.w3.org/2001/XMLSchema" xmlns:xs="http://www.w3.org/2001/XMLSchema" xmlns:p="http://schemas.microsoft.com/office/2006/metadata/properties" xmlns:ns3="3e797c8e-009b-402f-9d1e-8277a29df4a9" targetNamespace="http://schemas.microsoft.com/office/2006/metadata/properties" ma:root="true" ma:fieldsID="3a291e13af7f2777f219c56712c7638b" ns3:_="">
    <xsd:import namespace="3e797c8e-009b-402f-9d1e-8277a29df4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7c8e-009b-402f-9d1e-8277a29df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55053-2BF5-446D-989D-5C058AAF4CF4}">
  <ds:schemaRefs>
    <ds:schemaRef ds:uri="http://schemas.openxmlformats.org/officeDocument/2006/bibliography"/>
  </ds:schemaRefs>
</ds:datastoreItem>
</file>

<file path=customXml/itemProps2.xml><?xml version="1.0" encoding="utf-8"?>
<ds:datastoreItem xmlns:ds="http://schemas.openxmlformats.org/officeDocument/2006/customXml" ds:itemID="{EB0B0FAE-3299-4668-A42B-5C03B6FF7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FB33D-271E-499C-BEA9-828088108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97c8e-009b-402f-9d1e-8277a29df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EC69C-E579-41A9-B2D3-8C2230DC8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3719</Words>
  <Characters>21226</Characters>
  <Application>Microsoft Office Word</Application>
  <DocSecurity>0</DocSecurity>
  <Lines>176</Lines>
  <Paragraphs>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Craus</dc:creator>
  <cp:lastModifiedBy>Di Maggio Karina at MITA</cp:lastModifiedBy>
  <cp:revision>4</cp:revision>
  <cp:lastPrinted>2020-01-23T09:30:00Z</cp:lastPrinted>
  <dcterms:created xsi:type="dcterms:W3CDTF">2022-07-18T05:48:00Z</dcterms:created>
  <dcterms:modified xsi:type="dcterms:W3CDTF">2022-07-18T08:29:00Z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0x010100222CF665D6E1A9438154D5045877AFE8</vt:lpwstr>
  </property>
</Properties>
</file>